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6b0aa67536dbe06aeca6ba9efda7036458506ca"/>
    <w:p>
      <w:pPr>
        <w:pStyle w:val="Heading1"/>
      </w:pPr>
      <w:r>
        <w:t xml:space="preserve">Form A1-1. Motion for Entry of a Protective Order Governing Classified Information (Civil)</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https://nhilaw.com/forms/a1-1.html</w:t>
      </w:r>
    </w:p>
    <w:p>
      <w:pPr>
        <w:pStyle w:val="BodyText"/>
        <w:spacing w:after="160" w:line="259" w:lineRule="auto"/>
      </w:pPr>
      <w:r>
        <w:rPr>
          <w:bCs/>
          <w:b/>
        </w:rPr>
        <w:t xml:space="preserve">Use.</w:t>
      </w:r>
      <w:r>
        <w:t xml:space="preserve"> </w:t>
      </w:r>
      <w:r>
        <w:t xml:space="preserve">A plaintiff in a civil action that will involve classified information (for example, a</w:t>
      </w:r>
      <w:r>
        <w:t xml:space="preserve"> </w:t>
      </w:r>
      <w:r>
        <w:t xml:space="preserve">reprisal, tort, contract, or constitutional claim arising from a UAP-related program) moves early,</w:t>
      </w:r>
      <w:r>
        <w:t xml:space="preserve"> </w:t>
      </w:r>
      <w:r>
        <w:t xml:space="preserve">before the government asserts the state secrets privilege, for a protective order that lets cleared</w:t>
      </w:r>
      <w:r>
        <w:t xml:space="preserve"> </w:t>
      </w:r>
      <w:r>
        <w:t xml:space="preserve">counsel review classified material under secure conditions. Early entry of such an order supports a</w:t>
      </w:r>
      <w:r>
        <w:t xml:space="preserve"> </w:t>
      </w:r>
      <w:r>
        <w:t xml:space="preserve">later argument that the case can be litigated without dismissal, because the court will already have</w:t>
      </w:r>
      <w:r>
        <w:t xml:space="preserve"> </w:t>
      </w:r>
      <w:r>
        <w:t xml:space="preserve">procedures for handling the material. See</w:t>
      </w:r>
      <w:r>
        <w:t xml:space="preserve"> </w:t>
      </w:r>
      <w:r>
        <w:rPr>
          <w:iCs/>
          <w:i/>
        </w:rPr>
        <w:t xml:space="preserve">In re Sealed Case</w:t>
      </w:r>
      <w:r>
        <w:t xml:space="preserve">, 494 F.3d 139 (D.C. Cir. 2007);</w:t>
      </w:r>
      <w:r>
        <w:t xml:space="preserve"> </w:t>
      </w:r>
      <w:r>
        <w:rPr>
          <w:iCs/>
          <w:i/>
        </w:rPr>
        <w:t xml:space="preserve">Al</w:t>
      </w:r>
      <w:r>
        <w:rPr>
          <w:iCs/>
          <w:i/>
        </w:rPr>
        <w:t xml:space="preserve"> </w:t>
      </w:r>
      <w:r>
        <w:rPr>
          <w:iCs/>
          <w:i/>
        </w:rPr>
        <w:t xml:space="preserve">Shimari v. CACI Premier Technology, Inc.</w:t>
      </w:r>
      <w:r>
        <w:t xml:space="preserve">, 170 F.4th 162 (4th Cir. 2026).</w:t>
      </w:r>
    </w:p>
    <w:p>
      <w:pPr>
        <w:pStyle w:val="BodyText"/>
        <w:spacing w:after="160" w:line="259" w:lineRule="auto"/>
      </w:pPr>
      <w:r>
        <w:rPr>
          <w:bCs/>
          <w:b/>
        </w:rPr>
        <w:t xml:space="preserve">When to use.</w:t>
      </w:r>
      <w:r>
        <w:t xml:space="preserve"> </w:t>
      </w:r>
      <w:r>
        <w:t xml:space="preserve">A civil case in which classified information will be produced or relied on, or in which the government has signalled a state secrets assertion. Move before discovery starts.</w:t>
      </w:r>
      <w:r>
        <w:t xml:space="preserve"> </w:t>
      </w:r>
      <w:r>
        <w:rPr>
          <w:bCs/>
          <w:b/>
        </w:rPr>
        <w:t xml:space="preserve">Not for:</w:t>
      </w:r>
      <w:r>
        <w:t xml:space="preserve"> </w:t>
      </w:r>
      <w:r>
        <w:t xml:space="preserve">Criminal cases, where CIPA §3 governs (</w:t>
      </w:r>
      <w:hyperlink r:id="rId20">
        <w:r>
          <w:rPr>
            <w:rStyle w:val="Hyperlink"/>
          </w:rPr>
          <w:t xml:space="preserve">Form A2-2</w:t>
        </w:r>
      </w:hyperlink>
      <w:r>
        <w:t xml:space="preserve">).</w:t>
      </w:r>
    </w:p>
    <w:p>
      <w:pPr>
        <w:pStyle w:val="BodyText"/>
        <w:spacing w:after="160" w:line="259" w:lineRule="auto"/>
      </w:pPr>
      <w:r>
        <w:rPr>
          <w:bCs/>
          <w:b/>
        </w:rPr>
        <w:t xml:space="preserve">Deadlines.</w:t>
      </w:r>
      <w:r>
        <w:t xml:space="preserve"> </w:t>
      </w:r>
      <w:r>
        <w:t xml:space="preserve">None set by statute. Seek entry before the first production; a later order may not reach material already withheld.</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UNITED STATES DISTRICT COURT</w:t>
      </w:r>
    </w:p>
    <w:p>
      <w:pPr>
        <w:spacing w:lineRule="exact" w:line="240" w:before="0" w:after="0"/>
        <w:jc w:val="center"/>
      </w:pPr>
      <w:r>
        <w:rPr>
          <w:rFonts w:ascii="Times New Roman" w:hAnsi="Times New Roman" w:cs="Times New Roman" w:eastAsia="Times New Roman"/>
          <w:b/>
          <w:sz w:val="24"/>
        </w:rPr>
        <w:t>FOR THE DISTRICT OF COLUMBIA</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[PLAINTIFF],</w:t>
            </w:r>
          </w:p>
          <w:p>
            <w:pPr>
              <w:spacing w:lineRule="exact" w:line="240" w:before="0" w:after="0"/>
              <w:ind w:left="2160"/>
            </w:pPr>
            <w:r>
              <w:rPr>
                <w:rFonts w:ascii="Times New Roman" w:hAnsi="Times New Roman" w:cs="Times New Roman" w:eastAsia="Times New Roman"/>
                <w:b w:val="0"/>
                <w:sz w:val="24"/>
              </w:rPr>
              <w:t>Plaintiff,</w:t>
            </w:r>
          </w:p>
          <w:p>
            <w:pPr>
              <w:spacing w:lineRule="exact" w:line="240" w:before="0" w:after="0"/>
            </w:pPr>
          </w:p>
          <w:p>
            <w:pPr>
              <w:spacing w:lineRule="exact" w:line="240" w:before="0" w:after="0"/>
            </w:pPr>
            <w:r>
              <w:rPr>
                <w:rFonts w:ascii="Times New Roman" w:hAnsi="Times New Roman" w:cs="Times New Roman" w:eastAsia="Times New Roman"/>
                <w:b w:val="0"/>
                <w:sz w:val="24"/>
              </w:rPr>
              <w:t>v.</w:t>
            </w:r>
          </w:p>
          <w:p>
            <w:pPr>
              <w:spacing w:lineRule="exact" w:line="240" w:before="0" w:after="0"/>
            </w:pPr>
          </w:p>
          <w:p>
            <w:pPr>
              <w:spacing w:lineRule="exact" w:line="240" w:before="0" w:after="0"/>
            </w:pPr>
            <w:r>
              <w:rPr>
                <w:rFonts w:ascii="Times New Roman" w:hAnsi="Times New Roman" w:cs="Times New Roman" w:eastAsia="Times New Roman"/>
                <w:b w:val="0"/>
                <w:sz w:val="24"/>
              </w:rPr>
              <w:t>[DEFENDANT AGENCY / OFFICIAL /</w:t>
            </w:r>
          </w:p>
          <w:p>
            <w:pPr>
              <w:spacing w:lineRule="exact" w:line="240" w:before="0" w:after="0"/>
            </w:pPr>
            <w:r>
              <w:rPr>
                <w:rFonts w:ascii="Times New Roman" w:hAnsi="Times New Roman" w:cs="Times New Roman" w:eastAsia="Times New Roman"/>
                <w:b w:val="0"/>
                <w:sz w:val="24"/>
              </w:rPr>
              <w:t>CONTRACTOR],</w:t>
            </w:r>
          </w:p>
          <w:p>
            <w:pPr>
              <w:spacing w:lineRule="exact" w:line="240" w:before="0" w:after="0"/>
              <w:ind w:left="2160"/>
            </w:pPr>
            <w:r>
              <w:rPr>
                <w:rFonts w:ascii="Times New Roman" w:hAnsi="Times New Roman" w:cs="Times New Roman" w:eastAsia="Times New Roman"/>
                <w:b w:val="0"/>
                <w:sz w:val="24"/>
              </w:rPr>
              <w:t>Defendants.</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Civil Action No.</w:t>
            </w:r>
          </w:p>
          <w:p>
            <w:pPr>
              <w:spacing w:lineRule="exact" w:line="240" w:before="0" w:after="0"/>
            </w:pPr>
            <w:r>
              <w:rPr>
                <w:rFonts w:ascii="Times New Roman" w:hAnsi="Times New Roman" w:cs="Times New Roman" w:eastAsia="Times New Roman"/>
                <w:b w:val="0"/>
                <w:sz w:val="24"/>
              </w:rPr>
              <w:t>[__________] ([Judge</w:t>
            </w:r>
          </w:p>
          <w:p>
            <w:pPr>
              <w:spacing w:lineRule="exact" w:line="240" w:before="0" w:after="0"/>
            </w:pPr>
            <w:r>
              <w:rPr>
                <w:rFonts w:ascii="Times New Roman" w:hAnsi="Times New Roman" w:cs="Times New Roman" w:eastAsia="Times New Roman"/>
                <w:b w:val="0"/>
                <w:sz w:val="24"/>
              </w:rPr>
              <w:t>initials])</w:t>
            </w:r>
          </w:p>
          <w:p>
            <w:pPr>
              <w:spacing w:lineRule="exact" w:line="240" w:before="0" w:after="0"/>
            </w:pPr>
          </w:p>
          <w:p>
            <w:pPr>
              <w:spacing w:lineRule="exact" w:line="240" w:before="0" w:after="0"/>
            </w:pPr>
            <w:r>
              <w:rPr>
                <w:rFonts w:ascii="Times New Roman" w:hAnsi="Times New Roman" w:cs="Times New Roman" w:eastAsia="Times New Roman"/>
                <w:b/>
                <w:sz w:val="24"/>
              </w:rPr>
              <w:t>PLAINTIFF'S MOTION FOR</w:t>
            </w:r>
          </w:p>
          <w:p>
            <w:pPr>
              <w:spacing w:lineRule="exact" w:line="240" w:before="0" w:after="0"/>
            </w:pPr>
            <w:r>
              <w:rPr>
                <w:rFonts w:ascii="Times New Roman" w:hAnsi="Times New Roman" w:cs="Times New Roman" w:eastAsia="Times New Roman"/>
                <w:b/>
                <w:sz w:val="24"/>
              </w:rPr>
              <w:t>ENTRY OF A PROTECTIVE</w:t>
            </w:r>
          </w:p>
          <w:p>
            <w:pPr>
              <w:spacing w:lineRule="exact" w:line="240" w:before="0" w:after="0"/>
            </w:pPr>
            <w:r>
              <w:rPr>
                <w:rFonts w:ascii="Times New Roman" w:hAnsi="Times New Roman" w:cs="Times New Roman" w:eastAsia="Times New Roman"/>
                <w:b/>
                <w:sz w:val="24"/>
              </w:rPr>
              <w:t>ORDER GOVERNING</w:t>
            </w:r>
          </w:p>
          <w:p>
            <w:pPr>
              <w:spacing w:lineRule="exact" w:line="240" w:before="0" w:after="0"/>
            </w:pPr>
            <w:r>
              <w:rPr>
                <w:rFonts w:ascii="Times New Roman" w:hAnsi="Times New Roman" w:cs="Times New Roman" w:eastAsia="Times New Roman"/>
                <w:b/>
                <w:sz w:val="24"/>
              </w:rPr>
              <w:t>CLASSIFIED INFORMATION</w:t>
            </w:r>
          </w:p>
          <w:p>
            <w:pPr>
              <w:spacing w:lineRule="exact" w:line="240" w:before="0" w:after="0"/>
            </w:pPr>
            <w:r>
              <w:rPr>
                <w:rFonts w:ascii="Times New Roman" w:hAnsi="Times New Roman" w:cs="Times New Roman" w:eastAsia="Times New Roman"/>
                <w:b/>
                <w:sz w:val="24"/>
              </w:rPr>
              <w:t>AND FOR SECURITY</w:t>
            </w:r>
          </w:p>
          <w:p>
            <w:pPr>
              <w:spacing w:lineRule="exact" w:line="240" w:before="0" w:after="0"/>
            </w:pPr>
            <w:r>
              <w:rPr>
                <w:rFonts w:ascii="Times New Roman" w:hAnsi="Times New Roman" w:cs="Times New Roman" w:eastAsia="Times New Roman"/>
                <w:b/>
                <w:sz w:val="24"/>
              </w:rPr>
              <w:t>CLEARANCE PROCESSING</w:t>
            </w:r>
          </w:p>
          <w:p>
            <w:pPr>
              <w:spacing w:lineRule="exact" w:line="240" w:before="0" w:after="0"/>
            </w:pPr>
            <w:r>
              <w:rPr>
                <w:rFonts w:ascii="Times New Roman" w:hAnsi="Times New Roman" w:cs="Times New Roman" w:eastAsia="Times New Roman"/>
                <w:b/>
                <w:sz w:val="24"/>
              </w:rPr>
              <w:t>OF PLAINTIFF'S COUNSEL</w:t>
            </w: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spacing w:lineRule="exact" w:line="480" w:before="0" w:after="0"/>
        <w:ind w:firstLine="720"/>
      </w:pPr>
      <w:r>
        <w:t xml:space="preserve">Plaintiff [name] moves under Federal Rule of Civil Procedure 26(c) and the Court’s inherent authority</w:t>
      </w:r>
      <w:r>
        <w:t xml:space="preserve"> </w:t>
      </w:r>
      <w:r>
        <w:t xml:space="preserve">to manage its docket for entry of the attached proposed Protective Order governing the handling of</w:t>
      </w:r>
      <w:r>
        <w:t xml:space="preserve"> </w:t>
      </w:r>
      <w:r>
        <w:t xml:space="preserve">classified information in this action, and for an order directing Defendants to initiate security</w:t>
      </w:r>
      <w:r>
        <w:t xml:space="preserve"> </w:t>
      </w:r>
      <w:r>
        <w:t xml:space="preserve">clearance processing for Plaintiff’s counsel of record. Pursuant to Local Civil Rule 7(m), counsel for</w:t>
      </w:r>
      <w:r>
        <w:t xml:space="preserve"> </w:t>
      </w:r>
      <w:r>
        <w:t xml:space="preserve">Plaintiff conferred with counsel for Defendants on [date] by [method]. Defendants [oppose / take no</w:t>
      </w:r>
      <w:r>
        <w:t xml:space="preserve"> </w:t>
      </w:r>
      <w:r>
        <w:t xml:space="preserve">position / consent in part, as follows: ______].</w:t>
      </w:r>
    </w:p>
    <w:p>
      <w:pPr>
        <w:pStyle w:val="BodyText"/>
        <w:keepNext/>
        <w:spacing w:lineRule="exact" w:line="480" w:before="0" w:after="0"/>
        <w:jc w:val="center"/>
      </w:pPr>
      <w:r>
        <w:rPr>
          <w:bCs/>
          <w:b/>
        </w:rPr>
        <w:t xml:space="preserve">MEMORANDUM OF POINTS AND AUTHORITIES</w:t>
      </w:r>
    </w:p>
    <w:p>
      <w:pPr>
        <w:pStyle w:val="BodyText"/>
        <w:spacing w:lineRule="exact" w:line="480" w:before="0" w:after="0"/>
      </w:pPr>
      <w:r>
        <w:rPr>
          <w:bCs/>
          <w:b/>
        </w:rPr>
        <w:t xml:space="preserve">I. Background</w:t>
      </w:r>
    </w:p>
    <w:p>
      <w:pPr>
        <w:pStyle w:val="BodyText"/>
        <w:spacing w:lineRule="exact" w:line="480" w:before="0" w:after="0"/>
        <w:ind w:firstLine="720"/>
      </w:pPr>
      <w:r>
        <w:t xml:space="preserve">This action arises from [brief description: e.g., Defendants’ alleged reprisal against Plaintiff for</w:t>
      </w:r>
      <w:r>
        <w:t xml:space="preserve"> </w:t>
      </w:r>
      <w:r>
        <w:t xml:space="preserve">disclosures to the All-domain Anomaly Resolution Office protected by 50 U.S.C. § 3373b; or injuries</w:t>
      </w:r>
      <w:r>
        <w:t xml:space="preserve"> </w:t>
      </w:r>
      <w:r>
        <w:t xml:space="preserve">Plaintiff sustained in the course of work at (facility)]. Plaintiff anticipates that discovery, and</w:t>
      </w:r>
      <w:r>
        <w:t xml:space="preserve"> </w:t>
      </w:r>
      <w:r>
        <w:t xml:space="preserve">possibly Defendants’ defenses, will involve information that Defendants consider classified,</w:t>
      </w:r>
      <w:r>
        <w:t xml:space="preserve"> </w:t>
      </w:r>
      <w:r>
        <w:t xml:space="preserve">including [general categories stated without classified detail, e.g., the identity of program</w:t>
      </w:r>
      <w:r>
        <w:t xml:space="preserve"> </w:t>
      </w:r>
      <w:r>
        <w:t xml:space="preserve">offices, internal reporting records, security classification guides].</w:t>
      </w:r>
    </w:p>
    <w:p>
      <w:pPr>
        <w:pStyle w:val="BodyText"/>
        <w:spacing w:lineRule="exact" w:line="480" w:before="0" w:after="0"/>
        <w:ind w:firstLine="720"/>
      </w:pPr>
      <w:r>
        <w:t xml:space="preserve">Much of the subject matter of this case has been officially acknowledged. [List official</w:t>
      </w:r>
      <w:r>
        <w:t xml:space="preserve"> </w:t>
      </w:r>
      <w:r>
        <w:t xml:space="preserve">acknowledgments with citations: statutory provisions (e.g., 50 U.S.C. §§ 3373, 3373b; Pub. L. No.</w:t>
      </w:r>
      <w:r>
        <w:t xml:space="preserve"> </w:t>
      </w:r>
      <w:r>
        <w:t xml:space="preserve">118-31, §§ 1841-1843); sworn testimony of officials before Congress (hearing, date, witness, page);</w:t>
      </w:r>
      <w:r>
        <w:t xml:space="preserve"> </w:t>
      </w:r>
      <w:r>
        <w:t xml:space="preserve">agency reports (title, date); records released by the Department of War or the National Archives</w:t>
      </w:r>
      <w:r>
        <w:t xml:space="preserve"> </w:t>
      </w:r>
      <w:r>
        <w:t xml:space="preserve">(identifier, date).] Those acknowledgments matter here because the protection the law gives to</w:t>
      </w:r>
      <w:r>
        <w:t xml:space="preserve"> </w:t>
      </w:r>
      <w:r>
        <w:t xml:space="preserve">national security information turns on official confirmation. See</w:t>
      </w:r>
      <w:r>
        <w:t xml:space="preserve"> </w:t>
      </w:r>
      <w:r>
        <w:rPr>
          <w:iCs/>
          <w:i/>
        </w:rPr>
        <w:t xml:space="preserve">United States v. Zubaydah</w:t>
      </w:r>
      <w:r>
        <w:t xml:space="preserve">, 595 U.S.</w:t>
      </w:r>
      <w:r>
        <w:t xml:space="preserve"> </w:t>
      </w:r>
      <w:r>
        <w:t xml:space="preserve">195, 210-11 (2022).</w:t>
      </w:r>
    </w:p>
    <w:p>
      <w:pPr>
        <w:pStyle w:val="BodyText"/>
        <w:spacing w:lineRule="exact" w:line="480" w:before="0" w:after="0"/>
        <w:ind w:firstLine="720"/>
      </w:pPr>
      <w:r>
        <w:t xml:space="preserve">Plaintiff’s counsel, [name(s)], [hold / have previously held / are eligible to apply for] security</w:t>
      </w:r>
      <w:r>
        <w:t xml:space="preserve"> </w:t>
      </w:r>
      <w:r>
        <w:t xml:space="preserve">clearances at the [level] level. [Describe prior clearance history if any, without classified</w:t>
      </w:r>
      <w:r>
        <w:t xml:space="preserve"> </w:t>
      </w:r>
      <w:r>
        <w:t xml:space="preserve">detail.]</w:t>
      </w:r>
    </w:p>
    <w:p>
      <w:pPr>
        <w:pStyle w:val="BodyText"/>
        <w:spacing w:lineRule="exact" w:line="480" w:before="0" w:after="0"/>
      </w:pPr>
      <w:r>
        <w:rPr>
          <w:bCs/>
          <w:b/>
        </w:rPr>
        <w:t xml:space="preserve">II. Argument</w:t>
      </w:r>
    </w:p>
    <w:p>
      <w:pPr>
        <w:pStyle w:val="BodyText"/>
        <w:spacing w:lineRule="exact" w:line="480" w:before="0" w:after="0"/>
        <w:ind w:firstLine="720"/>
      </w:pPr>
      <w:r>
        <w:rPr>
          <w:bCs/>
          <w:b/>
        </w:rPr>
        <w:t xml:space="preserve">A. The Court has authority to enter a protective order governing classified information in a civil</w:t>
      </w:r>
      <w:r>
        <w:rPr>
          <w:bCs/>
          <w:b/>
        </w:rPr>
        <w:t xml:space="preserve"> </w:t>
      </w:r>
      <w:r>
        <w:rPr>
          <w:bCs/>
          <w:b/>
        </w:rPr>
        <w:t xml:space="preserve">case.</w:t>
      </w:r>
    </w:p>
    <w:p>
      <w:pPr>
        <w:pStyle w:val="BodyText"/>
        <w:spacing w:lineRule="exact" w:line="480" w:before="0" w:after="0"/>
        <w:ind w:firstLine="720"/>
      </w:pPr>
      <w:r>
        <w:t xml:space="preserve">Rule 26(c) authorizes the Court, for good cause, to issue an order</w:t>
      </w:r>
      <w:r>
        <w:t xml:space="preserve"> </w:t>
      </w:r>
      <w:r>
        <w:t xml:space="preserve">“</w:t>
      </w:r>
      <w:r>
        <w:t xml:space="preserve">specifying terms … for the</w:t>
      </w:r>
      <w:r>
        <w:t xml:space="preserve"> </w:t>
      </w:r>
      <w:r>
        <w:t xml:space="preserve">disclosure or discovery</w:t>
      </w:r>
      <w:r>
        <w:t xml:space="preserve">”</w:t>
      </w:r>
      <w:r>
        <w:t xml:space="preserve"> </w:t>
      </w:r>
      <w:r>
        <w:t xml:space="preserve">of information and requiring that information</w:t>
      </w:r>
      <w:r>
        <w:t xml:space="preserve"> </w:t>
      </w:r>
      <w:r>
        <w:t xml:space="preserve">“</w:t>
      </w:r>
      <w:r>
        <w:t xml:space="preserve">be revealed only in a</w:t>
      </w:r>
      <w:r>
        <w:t xml:space="preserve"> </w:t>
      </w:r>
      <w:r>
        <w:t xml:space="preserve">specified way.</w:t>
      </w:r>
      <w:r>
        <w:t xml:space="preserve">”</w:t>
      </w:r>
      <w:r>
        <w:t xml:space="preserve"> </w:t>
      </w:r>
      <w:r>
        <w:t xml:space="preserve">The Classified Information Procedures Act, 18 U.S.C. App. 3, applies by its terms</w:t>
      </w:r>
      <w:r>
        <w:t xml:space="preserve"> </w:t>
      </w:r>
      <w:r>
        <w:t xml:space="preserve">only to criminal prosecutions, but courts in civil cases routinely adopt protective orders modeled on</w:t>
      </w:r>
      <w:r>
        <w:t xml:space="preserve"> </w:t>
      </w:r>
      <w:r>
        <w:t xml:space="preserve">CIPA § 3 and on the procedures used in national security habeas litigation in this District.</w:t>
      </w:r>
      <w:r>
        <w:t xml:space="preserve"> </w:t>
      </w:r>
      <w:r>
        <w:rPr>
          <w:iCs/>
          <w:i/>
        </w:rPr>
        <w:t xml:space="preserve">See</w:t>
      </w:r>
      <w:r>
        <w:rPr>
          <w:iCs/>
          <w:i/>
        </w:rPr>
        <w:t xml:space="preserve"> </w:t>
      </w:r>
      <w:r>
        <w:rPr>
          <w:iCs/>
          <w:i/>
        </w:rPr>
        <w:t xml:space="preserve">In re Guantanamo Bay Detainee Litigation</w:t>
      </w:r>
      <w:r>
        <w:t xml:space="preserve">, 577 F. Supp. 2d 143 (D.D.C. 2008) (entering protective</w:t>
      </w:r>
      <w:r>
        <w:t xml:space="preserve"> </w:t>
      </w:r>
      <w:r>
        <w:t xml:space="preserve">order for classified information in consolidated habeas cases; counsel presumed to have a</w:t>
      </w:r>
      <w:r>
        <w:t xml:space="preserve"> </w:t>
      </w:r>
      <w:r>
        <w:t xml:space="preserve">“</w:t>
      </w:r>
      <w:r>
        <w:t xml:space="preserve">need to</w:t>
      </w:r>
      <w:r>
        <w:t xml:space="preserve"> </w:t>
      </w:r>
      <w:r>
        <w:t xml:space="preserve">know</w:t>
      </w:r>
      <w:r>
        <w:t xml:space="preserve">”</w:t>
      </w:r>
      <w:r>
        <w:t xml:space="preserve"> </w:t>
      </w:r>
      <w:r>
        <w:t xml:space="preserve">information in their own and related cases),</w:t>
      </w:r>
      <w:r>
        <w:t xml:space="preserve"> </w:t>
      </w:r>
      <w:r>
        <w:rPr>
          <w:iCs/>
          <w:i/>
        </w:rPr>
        <w:t xml:space="preserve">amended</w:t>
      </w:r>
      <w:r>
        <w:t xml:space="preserve"> </w:t>
      </w:r>
      <w:r>
        <w:t xml:space="preserve">(D.D.C. July 10, 2009). The Court of Federal Claims has published guidelines for the same purpose.</w:t>
      </w:r>
      <w:r>
        <w:t xml:space="preserve"> </w:t>
      </w:r>
      <w:r>
        <w:t xml:space="preserve">U.S. Court of Federal Claims,</w:t>
      </w:r>
      <w:r>
        <w:t xml:space="preserve"> </w:t>
      </w:r>
      <w:r>
        <w:rPr>
          <w:iCs/>
          <w:i/>
        </w:rPr>
        <w:t xml:space="preserve">Guidelines for Classified Information</w:t>
      </w:r>
      <w:r>
        <w:t xml:space="preserve"> </w:t>
      </w:r>
      <w:r>
        <w:t xml:space="preserve">(Apr. 2021).</w:t>
      </w:r>
    </w:p>
    <w:p>
      <w:pPr>
        <w:pStyle w:val="BodyText"/>
        <w:spacing w:lineRule="exact" w:line="480" w:before="0" w:after="0"/>
        <w:ind w:firstLine="720"/>
      </w:pPr>
      <w:r>
        <w:rPr>
          <w:bCs/>
          <w:b/>
        </w:rPr>
        <w:t xml:space="preserve">B. Entry of the order now will allow the case to proceed on the merits.</w:t>
      </w:r>
    </w:p>
    <w:p>
      <w:pPr>
        <w:pStyle w:val="BodyText"/>
        <w:spacing w:lineRule="exact" w:line="480" w:before="0" w:after="0"/>
        <w:ind w:firstLine="720"/>
      </w:pPr>
      <w:r>
        <w:t xml:space="preserve">The state secrets privilege belongs to the government and must be asserted formally by the head of</w:t>
      </w:r>
      <w:r>
        <w:t xml:space="preserve"> </w:t>
      </w:r>
      <w:r>
        <w:t xml:space="preserve">the department with control over the matter, after personal consideration.</w:t>
      </w:r>
      <w:r>
        <w:t xml:space="preserve"> </w:t>
      </w:r>
      <w:r>
        <w:rPr>
          <w:iCs/>
          <w:i/>
        </w:rPr>
        <w:t xml:space="preserve">United States v.</w:t>
      </w:r>
      <w:r>
        <w:rPr>
          <w:iCs/>
          <w:i/>
        </w:rPr>
        <w:t xml:space="preserve"> </w:t>
      </w:r>
      <w:r>
        <w:rPr>
          <w:iCs/>
          <w:i/>
        </w:rPr>
        <w:t xml:space="preserve">Reynolds</w:t>
      </w:r>
      <w:r>
        <w:t xml:space="preserve">, 345 U.S. 1, 7-8 (1953). If Defendants assert it, the ordinary consequence is the removal of</w:t>
      </w:r>
      <w:r>
        <w:t xml:space="preserve"> </w:t>
      </w:r>
      <w:r>
        <w:t xml:space="preserve">the privileged evidence from the case, and the case proceeds.</w:t>
      </w:r>
      <w:r>
        <w:t xml:space="preserve"> </w:t>
      </w:r>
      <w:r>
        <w:rPr>
          <w:iCs/>
          <w:i/>
        </w:rPr>
        <w:t xml:space="preserve">In re Sealed Case</w:t>
      </w:r>
      <w:r>
        <w:t xml:space="preserve">, 494 F.3d at</w:t>
      </w:r>
      <w:r>
        <w:t xml:space="preserve"> </w:t>
      </w:r>
      <w:r>
        <w:t xml:space="preserve">144-45. Dismissal is reserved for the exceptional case in which the plaintiff cannot make out a prima</w:t>
      </w:r>
      <w:r>
        <w:t xml:space="preserve"> </w:t>
      </w:r>
      <w:r>
        <w:t xml:space="preserve">facie case without privileged evidence, the privilege deprives the defendant of a valid defense, or</w:t>
      </w:r>
      <w:r>
        <w:t xml:space="preserve"> </w:t>
      </w:r>
      <w:r>
        <w:t xml:space="preserve">privileged and nonprivileged evidence cannot be separated.</w:t>
      </w:r>
      <w:r>
        <w:t xml:space="preserve"> </w:t>
      </w:r>
      <w:r>
        <w:rPr>
          <w:iCs/>
          <w:i/>
        </w:rPr>
        <w:t xml:space="preserve">Mohamed v. Jeppesen Dataplan, Inc.</w:t>
      </w:r>
      <w:r>
        <w:t xml:space="preserve">, 614</w:t>
      </w:r>
      <w:r>
        <w:t xml:space="preserve"> </w:t>
      </w:r>
      <w:r>
        <w:t xml:space="preserve">F.3d 1070, 1083 (9th Cir. 2010) (en banc). Whether a case reaches that point depends heavily on the</w:t>
      </w:r>
      <w:r>
        <w:t xml:space="preserve"> </w:t>
      </w:r>
      <w:r>
        <w:t xml:space="preserve">protective measures the court has available. In</w:t>
      </w:r>
      <w:r>
        <w:t xml:space="preserve"> </w:t>
      </w:r>
      <w:r>
        <w:rPr>
          <w:iCs/>
          <w:i/>
        </w:rPr>
        <w:t xml:space="preserve">Al Shimari v. CACI Premier Technology, Inc.</w:t>
      </w:r>
      <w:r>
        <w:t xml:space="preserve">, the Fourth</w:t>
      </w:r>
      <w:r>
        <w:t xml:space="preserve"> </w:t>
      </w:r>
      <w:r>
        <w:t xml:space="preserve">Circuit reasoned that a contractor was not prejudiced by the privilege where the district court had used</w:t>
      </w:r>
      <w:r>
        <w:t xml:space="preserve"> </w:t>
      </w:r>
      <w:r>
        <w:t xml:space="preserve">pseudonymous and telephonic testimony and other measures, and the case was tried to verdict. 170 F.4th 162, 197-98</w:t>
      </w:r>
      <w:r>
        <w:t xml:space="preserve"> </w:t>
      </w:r>
      <w:r>
        <w:t xml:space="preserve">(4th Cir. 2026), vacated on reh’g on other grounds, 2026 WL 2547096 (4th Cir. Aug. 28, 2026) (per curiam) (unpublished). A protective</w:t>
      </w:r>
      <w:r>
        <w:t xml:space="preserve"> </w:t>
      </w:r>
      <w:r>
        <w:t xml:space="preserve">order entered at the outset gives the Court those tools before any dispute arises.</w:t>
      </w:r>
    </w:p>
    <w:p>
      <w:pPr>
        <w:pStyle w:val="BodyText"/>
        <w:spacing w:lineRule="exact" w:line="480" w:before="0" w:after="0"/>
      </w:pPr>
      <w:r>
        <w:rPr>
          <w:bCs/>
          <w:b/>
        </w:rPr>
        <w:t xml:space="preserve">C. Counsel’s clearance processing should begin now.</w:t>
      </w:r>
    </w:p>
    <w:p>
      <w:pPr>
        <w:pStyle w:val="BodyText"/>
        <w:spacing w:lineRule="exact" w:line="480" w:before="0" w:after="0"/>
        <w:ind w:firstLine="720"/>
      </w:pPr>
      <w:r>
        <w:t xml:space="preserve">Clearance processing takes months. Starting it now avoids delay later and allows counsel to receive</w:t>
      </w:r>
      <w:r>
        <w:t xml:space="preserve"> </w:t>
      </w:r>
      <w:r>
        <w:t xml:space="preserve">classified filings, attend any closed hearing, and review classified declarations to the extent the</w:t>
      </w:r>
      <w:r>
        <w:t xml:space="preserve"> </w:t>
      </w:r>
      <w:r>
        <w:t xml:space="preserve">Court permits. Clearance alone does not confer access; the classifying agency must also find a need to</w:t>
      </w:r>
      <w:r>
        <w:t xml:space="preserve"> </w:t>
      </w:r>
      <w:r>
        <w:t xml:space="preserve">know. The proposed order therefore asks the Court to direct Defendants to submit counsel’s</w:t>
      </w:r>
      <w:r>
        <w:t xml:space="preserve"> </w:t>
      </w:r>
      <w:r>
        <w:t xml:space="preserve">applications promptly and to report any need-to-know determination to the Court, so that the Court</w:t>
      </w:r>
      <w:r>
        <w:t xml:space="preserve"> </w:t>
      </w:r>
      <w:r>
        <w:t xml:space="preserve">can resolve disputes about access.</w:t>
      </w:r>
    </w:p>
    <w:p>
      <w:pPr>
        <w:pStyle w:val="BodyText"/>
        <w:spacing w:lineRule="exact" w:line="480" w:before="0" w:after="0"/>
      </w:pPr>
      <w:r>
        <w:rPr>
          <w:bCs/>
          <w:b/>
        </w:rPr>
        <w:t xml:space="preserve">D. The proposed order protects national security.</w:t>
      </w:r>
    </w:p>
    <w:p>
      <w:pPr>
        <w:pStyle w:val="BodyText"/>
        <w:spacing w:lineRule="exact" w:line="480" w:before="0" w:after="0"/>
        <w:ind w:firstLine="720"/>
      </w:pPr>
      <w:r>
        <w:t xml:space="preserve">The proposed order requires storage of classified material in a facility approved by the Classified</w:t>
      </w:r>
      <w:r>
        <w:t xml:space="preserve"> </w:t>
      </w:r>
      <w:r>
        <w:t xml:space="preserve">Information Security Officer (CISO); prohibits disclosure except to cleared persons with a need to</w:t>
      </w:r>
      <w:r>
        <w:t xml:space="preserve"> </w:t>
      </w:r>
      <w:r>
        <w:t xml:space="preserve">know; requires filing of classified material with the CISO; provides for classification review of</w:t>
      </w:r>
      <w:r>
        <w:t xml:space="preserve"> </w:t>
      </w:r>
      <w:r>
        <w:t xml:space="preserve">Plaintiff’s filings before public filing; and provides for sanctions. These measures are drawn from</w:t>
      </w:r>
      <w:r>
        <w:t xml:space="preserve"> </w:t>
      </w:r>
      <w:r>
        <w:t xml:space="preserve">orders that courts have used for years without compromise of classified information.</w:t>
      </w:r>
    </w:p>
    <w:p>
      <w:pPr>
        <w:pStyle w:val="BodyText"/>
        <w:spacing w:lineRule="exact" w:line="480" w:before="0" w:after="0"/>
      </w:pPr>
      <w:r>
        <w:rPr>
          <w:bCs/>
          <w:b/>
        </w:rPr>
        <w:t xml:space="preserve">III. Conclusion</w:t>
      </w:r>
    </w:p>
    <w:p>
      <w:pPr>
        <w:pStyle w:val="BodyText"/>
        <w:spacing w:lineRule="exact" w:line="480" w:before="0" w:after="0"/>
        <w:ind w:firstLine="720"/>
      </w:pPr>
      <w:r>
        <w:t xml:space="preserve">The Court should enter the attached Protective Order and direct Defendants to begin security</w:t>
      </w:r>
      <w:r>
        <w:t xml:space="preserve"> </w:t>
      </w:r>
      <w:r>
        <w:t xml:space="preserve">clearance processing for Plaintiff’s counsel within [14] days.</w:t>
      </w:r>
    </w:p>
    <w:p>
      <w:pPr>
        <w:pStyle w:val="BodyText"/>
        <w:spacing w:lineRule="exact" w:line="480" w:before="0" w:after="0"/>
      </w:pPr>
      <w:r>
        <w:t xml:space="preserve">Dated: [__________] Respectfully submitted,</w:t>
      </w:r>
    </w:p>
    <w:p>
      <w:pPr>
        <w:pStyle w:val="BodyText"/>
        <w:spacing w:lineRule="exact" w:line="480" w:before="0" w:after="0"/>
      </w:pPr>
      <w:r>
        <w:t xml:space="preserve">[signature block]</w:t>
      </w:r>
    </w:p>
    <w:p>
      <w:pPr>
        <w:pStyle w:val="BodyText"/>
        <w:spacing w:lineRule="exact" w:line="480" w:before="0" w:after="0"/>
      </w:pPr>
      <w:r>
        <w:br w:type="page"/>
      </w:r>
    </w:p>
    <w:p>
      <w:pPr>
        <w:pStyle w:val="BodyText"/>
        <w:keepNext/>
        <w:spacing w:lineRule="exact" w:line="480" w:before="0" w:after="0"/>
        <w:jc w:val="center"/>
      </w:pPr>
      <w:r>
        <w:rPr>
          <w:bCs/>
          <w:b/>
        </w:rPr>
        <w:t xml:space="preserve">[PROPOSED] PROTECTIVE ORDER GOVERNING CLASSIFIED INFORMATION</w:t>
      </w:r>
    </w:p>
    <w:p>
      <w:pPr>
        <w:pStyle w:val="BodyText"/>
        <w:spacing w:lineRule="exact" w:line="480" w:before="0" w:after="0"/>
        <w:ind w:firstLine="720"/>
      </w:pPr>
      <w:r>
        <w:t xml:space="preserve">Upon consideration of Plaintiff’s Motion, and for good cause shown, it is ORDERED:</w:t>
      </w:r>
    </w:p>
    <w:p>
      <w:pPr>
        <w:numPr>
          <w:ilvl w:val="0"/>
          <w:numId w:val="1001"/>
        </w:numPr>
        <w:spacing w:lineRule="exact" w:line="480" w:before="0" w:after="0"/>
      </w:pPr>
      <w:r>
        <w:rPr>
          <w:bCs/>
          <w:b/>
        </w:rPr>
        <w:t xml:space="preserve">Scope.</w:t>
      </w:r>
      <w:r>
        <w:t xml:space="preserve"> </w:t>
      </w:r>
      <w:r>
        <w:t xml:space="preserve">This Order governs all classified information, and all information that a party</w:t>
      </w:r>
      <w:r>
        <w:t xml:space="preserve"> </w:t>
      </w:r>
      <w:r>
        <w:t xml:space="preserve">reasonably believes may be classified, that is produced, filed, or otherwise used in this action.</w:t>
      </w:r>
      <w:r>
        <w:t xml:space="preserve"> </w:t>
      </w:r>
      <w:r>
        <w:t xml:space="preserve">“</w:t>
      </w:r>
      <w:r>
        <w:t xml:space="preserve">Classified information</w:t>
      </w:r>
      <w:r>
        <w:t xml:space="preserve">”</w:t>
      </w:r>
      <w:r>
        <w:t xml:space="preserve"> </w:t>
      </w:r>
      <w:r>
        <w:t xml:space="preserve">means information classified under Executive Order 13526 or any</w:t>
      </w:r>
      <w:r>
        <w:t xml:space="preserve"> </w:t>
      </w:r>
      <w:r>
        <w:t xml:space="preserve">successor order, or under the Atomic Energy Act of 1954, and includes information in any form</w:t>
      </w:r>
      <w:r>
        <w:t xml:space="preserve"> </w:t>
      </w:r>
      <w:r>
        <w:t xml:space="preserve">bearing classification markings or that a party has been notified is classified.</w:t>
      </w:r>
    </w:p>
    <w:p>
      <w:pPr>
        <w:numPr>
          <w:ilvl w:val="0"/>
          <w:numId w:val="1001"/>
        </w:numPr>
        <w:spacing w:lineRule="exact" w:line="480" w:before="0" w:after="0"/>
      </w:pPr>
      <w:r>
        <w:rPr>
          <w:bCs/>
          <w:b/>
        </w:rPr>
        <w:t xml:space="preserve">Classified Information Security Officer.</w:t>
      </w:r>
      <w:r>
        <w:t xml:space="preserve"> </w:t>
      </w:r>
      <w:r>
        <w:t xml:space="preserve">The Court designates [name], of the Department of</w:t>
      </w:r>
      <w:r>
        <w:t xml:space="preserve"> </w:t>
      </w:r>
      <w:r>
        <w:t xml:space="preserve">Justice Litigation Security Group, as CISO, with [name] as alternate. The CISO shall advise the</w:t>
      </w:r>
      <w:r>
        <w:t xml:space="preserve"> </w:t>
      </w:r>
      <w:r>
        <w:t xml:space="preserve">Court and the parties on security procedures and shall not disclose to any party the substance of</w:t>
      </w:r>
      <w:r>
        <w:t xml:space="preserve"> </w:t>
      </w:r>
      <w:r>
        <w:t xml:space="preserve">another party’s classified filings.</w:t>
      </w:r>
    </w:p>
    <w:p>
      <w:pPr>
        <w:numPr>
          <w:ilvl w:val="0"/>
          <w:numId w:val="1001"/>
        </w:numPr>
        <w:spacing w:lineRule="exact" w:line="480" w:before="0" w:after="0"/>
      </w:pPr>
      <w:r>
        <w:rPr>
          <w:bCs/>
          <w:b/>
        </w:rPr>
        <w:t xml:space="preserve">Clearances.</w:t>
      </w:r>
      <w:r>
        <w:t xml:space="preserve"> </w:t>
      </w:r>
      <w:r>
        <w:t xml:space="preserve">Within [14] days, Defendants shall submit to the appropriate agency the security</w:t>
      </w:r>
      <w:r>
        <w:t xml:space="preserve"> </w:t>
      </w:r>
      <w:r>
        <w:t xml:space="preserve">clearance applications of Plaintiff’s counsel of record [and named staff and experts]. Defendants</w:t>
      </w:r>
      <w:r>
        <w:t xml:space="preserve"> </w:t>
      </w:r>
      <w:r>
        <w:t xml:space="preserve">shall report the status of each application to the Court every [30] days. Any determination that a</w:t>
      </w:r>
      <w:r>
        <w:t xml:space="preserve"> </w:t>
      </w:r>
      <w:r>
        <w:t xml:space="preserve">cleared person lacks a need to know specific information shall be reported to the Court, which may</w:t>
      </w:r>
      <w:r>
        <w:t xml:space="preserve"> </w:t>
      </w:r>
      <w:r>
        <w:t xml:space="preserve">resolve the dispute after ex parte, in camera review if necessary.</w:t>
      </w:r>
    </w:p>
    <w:p>
      <w:pPr>
        <w:numPr>
          <w:ilvl w:val="0"/>
          <w:numId w:val="1001"/>
        </w:numPr>
        <w:spacing w:lineRule="exact" w:line="480" w:before="0" w:after="0"/>
      </w:pPr>
      <w:r>
        <w:rPr>
          <w:bCs/>
          <w:b/>
        </w:rPr>
        <w:t xml:space="preserve">Access.</w:t>
      </w:r>
      <w:r>
        <w:t xml:space="preserve"> </w:t>
      </w:r>
      <w:r>
        <w:t xml:space="preserve">No person shall have access to classified information under this Order unless that</w:t>
      </w:r>
      <w:r>
        <w:t xml:space="preserve"> </w:t>
      </w:r>
      <w:r>
        <w:t xml:space="preserve">person holds an appropriate clearance, has been determined to have a need to know, and has signed</w:t>
      </w:r>
      <w:r>
        <w:t xml:space="preserve"> </w:t>
      </w:r>
      <w:r>
        <w:t xml:space="preserve">the Memorandum of Understanding attached as Exhibit A.</w:t>
      </w:r>
    </w:p>
    <w:p>
      <w:pPr>
        <w:pStyle w:val="FirstParagraph"/>
        <w:spacing w:lineRule="exact" w:line="480" w:before="0" w:after="0"/>
        <w:ind w:firstLine="720"/>
      </w:pPr>
      <w:r>
        <w:t xml:space="preserve">4A.</w:t>
      </w:r>
      <w:r>
        <w:t xml:space="preserve"> </w:t>
      </w:r>
      <w:r>
        <w:rPr>
          <w:bCs/>
          <w:b/>
        </w:rPr>
        <w:t xml:space="preserve">Experts and consultants.</w:t>
      </w:r>
      <w:r>
        <w:t xml:space="preserve"> </w:t>
      </w:r>
      <w:r>
        <w:t xml:space="preserve">A party may designate experts or consultants who need access to classified</w:t>
      </w:r>
      <w:r>
        <w:t xml:space="preserve"> </w:t>
      </w:r>
      <w:r>
        <w:t xml:space="preserve">information to assist counsel. The designating party shall submit each designee’s name to the CISO for clearance</w:t>
      </w:r>
      <w:r>
        <w:t xml:space="preserve"> </w:t>
      </w:r>
      <w:r>
        <w:t xml:space="preserve">processing under paragraph 3. No designee shall have access before being cleared, determined to have a need to</w:t>
      </w:r>
      <w:r>
        <w:t xml:space="preserve"> </w:t>
      </w:r>
      <w:r>
        <w:t xml:space="preserve">know, and signing Exhibit A.</w:t>
      </w:r>
    </w:p>
    <w:p>
      <w:pPr>
        <w:numPr>
          <w:ilvl w:val="0"/>
          <w:numId w:val="1002"/>
        </w:numPr>
        <w:spacing w:lineRule="exact" w:line="480" w:before="0" w:after="0"/>
      </w:pPr>
      <w:r>
        <w:rPr>
          <w:bCs/>
          <w:b/>
        </w:rPr>
        <w:t xml:space="preserve">Secure area.</w:t>
      </w:r>
      <w:r>
        <w:t xml:space="preserve"> </w:t>
      </w:r>
      <w:r>
        <w:t xml:space="preserve">Classified information shall be stored, reviewed, and processed only in a secure</w:t>
      </w:r>
      <w:r>
        <w:t xml:space="preserve"> </w:t>
      </w:r>
      <w:r>
        <w:t xml:space="preserve">area approved by the CISO. Counsel may prepare classified filings only in the secure area on</w:t>
      </w:r>
      <w:r>
        <w:t xml:space="preserve"> </w:t>
      </w:r>
      <w:r>
        <w:t xml:space="preserve">equipment approved by the CISO.</w:t>
      </w:r>
    </w:p>
    <w:p>
      <w:pPr>
        <w:numPr>
          <w:ilvl w:val="0"/>
          <w:numId w:val="1002"/>
        </w:numPr>
        <w:spacing w:lineRule="exact" w:line="480" w:before="0" w:after="0"/>
      </w:pPr>
      <w:r>
        <w:rPr>
          <w:bCs/>
          <w:b/>
        </w:rPr>
        <w:t xml:space="preserve">Filing.</w:t>
      </w:r>
      <w:r>
        <w:t xml:space="preserve"> </w:t>
      </w:r>
      <w:r>
        <w:t xml:space="preserve">Classified filings shall be submitted to the CISO, who shall deliver them to the Court</w:t>
      </w:r>
      <w:r>
        <w:t xml:space="preserve"> </w:t>
      </w:r>
      <w:r>
        <w:t xml:space="preserve">and to cleared counsel for the other parties. Each party shall file a public version with</w:t>
      </w:r>
      <w:r>
        <w:t xml:space="preserve"> </w:t>
      </w:r>
      <w:r>
        <w:t xml:space="preserve">classified material redacted after classification review under paragraph 7.</w:t>
      </w:r>
    </w:p>
    <w:p>
      <w:pPr>
        <w:numPr>
          <w:ilvl w:val="0"/>
          <w:numId w:val="1002"/>
        </w:numPr>
        <w:spacing w:lineRule="exact" w:line="480" w:before="0" w:after="0"/>
      </w:pPr>
      <w:r>
        <w:rPr>
          <w:bCs/>
          <w:b/>
        </w:rPr>
        <w:t xml:space="preserve">Classification review.</w:t>
      </w:r>
      <w:r>
        <w:t xml:space="preserve"> </w:t>
      </w:r>
      <w:r>
        <w:t xml:space="preserve">Any filing, transcript, or other document that may contain classified</w:t>
      </w:r>
      <w:r>
        <w:t xml:space="preserve"> </w:t>
      </w:r>
      <w:r>
        <w:t xml:space="preserve">information shall be submitted to the CISO for classification review before public filing.</w:t>
      </w:r>
      <w:r>
        <w:t xml:space="preserve"> </w:t>
      </w:r>
      <w:r>
        <w:t xml:space="preserve">Defendants shall complete review within [7] days unless the Court orders otherwise.</w:t>
      </w:r>
    </w:p>
    <w:p>
      <w:pPr>
        <w:numPr>
          <w:ilvl w:val="0"/>
          <w:numId w:val="1002"/>
        </w:numPr>
        <w:spacing w:lineRule="exact" w:line="480" w:before="0" w:after="0"/>
      </w:pPr>
      <w:r>
        <w:rPr>
          <w:bCs/>
          <w:b/>
        </w:rPr>
        <w:t xml:space="preserve">Official acknowledgment.</w:t>
      </w:r>
      <w:r>
        <w:t xml:space="preserve"> </w:t>
      </w:r>
      <w:r>
        <w:t xml:space="preserve">Information that has been officially acknowledged by the United States</w:t>
      </w:r>
      <w:r>
        <w:t xml:space="preserve"> </w:t>
      </w:r>
      <w:r>
        <w:t xml:space="preserve">(including information contained in statutes, public reports to Congress, sworn public testimony of</w:t>
      </w:r>
      <w:r>
        <w:t xml:space="preserve"> </w:t>
      </w:r>
      <w:r>
        <w:t xml:space="preserve">federal officials, and records released by an agency or the National Archives) may be used in</w:t>
      </w:r>
      <w:r>
        <w:t xml:space="preserve"> </w:t>
      </w:r>
      <w:r>
        <w:t xml:space="preserve">unclassified filings and proceedings without classification review, provided that the filing</w:t>
      </w:r>
      <w:r>
        <w:t xml:space="preserve"> </w:t>
      </w:r>
      <w:r>
        <w:t xml:space="preserve">identifies the source of the acknowledgment. A party that believes particular information is not</w:t>
      </w:r>
      <w:r>
        <w:t xml:space="preserve"> </w:t>
      </w:r>
      <w:r>
        <w:t xml:space="preserve">officially acknowledged may raise the matter with the Court. [Note: expect the government to</w:t>
      </w:r>
      <w:r>
        <w:t xml:space="preserve"> </w:t>
      </w:r>
      <w:r>
        <w:t xml:space="preserve">oppose this paragraph; it is included to frame the official-acknowledgment issue early.]</w:t>
      </w:r>
    </w:p>
    <w:p>
      <w:pPr>
        <w:numPr>
          <w:ilvl w:val="0"/>
          <w:numId w:val="1002"/>
        </w:numPr>
        <w:spacing w:lineRule="exact" w:line="480" w:before="0" w:after="0"/>
      </w:pPr>
      <w:r>
        <w:rPr>
          <w:bCs/>
          <w:b/>
        </w:rPr>
        <w:t xml:space="preserve">Hearings.</w:t>
      </w:r>
      <w:r>
        <w:t xml:space="preserve"> </w:t>
      </w:r>
      <w:r>
        <w:t xml:space="preserve">Proceedings at which classified information may be disclosed shall be closed to</w:t>
      </w:r>
      <w:r>
        <w:t xml:space="preserve"> </w:t>
      </w:r>
      <w:r>
        <w:t xml:space="preserve">persons not authorized under this Order. Transcripts shall be reviewed under paragraph 7.</w:t>
      </w:r>
    </w:p>
    <w:p>
      <w:pPr>
        <w:numPr>
          <w:ilvl w:val="0"/>
          <w:numId w:val="1002"/>
        </w:numPr>
        <w:spacing w:lineRule="exact" w:line="480" w:before="0" w:after="0"/>
      </w:pPr>
      <w:r>
        <w:rPr>
          <w:bCs/>
          <w:b/>
        </w:rPr>
        <w:t xml:space="preserve">Pseudonyms and substitutes.</w:t>
      </w:r>
      <w:r>
        <w:t xml:space="preserve"> </w:t>
      </w:r>
      <w:r>
        <w:t xml:space="preserve">The parties shall meet and confer about pseudonyms for witnesses</w:t>
      </w:r>
      <w:r>
        <w:t xml:space="preserve"> </w:t>
      </w:r>
      <w:r>
        <w:t xml:space="preserve">whose identities are classified, unclassified summaries, and stipulations, and shall present any</w:t>
      </w:r>
      <w:r>
        <w:t xml:space="preserve"> </w:t>
      </w:r>
      <w:r>
        <w:t xml:space="preserve">disagreement to the Court.</w:t>
      </w:r>
    </w:p>
    <w:p>
      <w:pPr>
        <w:numPr>
          <w:ilvl w:val="0"/>
          <w:numId w:val="1002"/>
        </w:numPr>
        <w:spacing w:lineRule="exact" w:line="480" w:before="0" w:after="0"/>
      </w:pPr>
      <w:r>
        <w:rPr>
          <w:bCs/>
          <w:b/>
        </w:rPr>
        <w:t xml:space="preserve">No waiver.</w:t>
      </w:r>
      <w:r>
        <w:t xml:space="preserve"> </w:t>
      </w:r>
      <w:r>
        <w:t xml:space="preserve">Nothing in this Order waives any privilege, including the state secrets privilege,</w:t>
      </w:r>
      <w:r>
        <w:t xml:space="preserve"> </w:t>
      </w:r>
      <w:r>
        <w:t xml:space="preserve">or constitutes a determination that any information is or is not classified or privileged.</w:t>
      </w:r>
    </w:p>
    <w:p>
      <w:pPr>
        <w:numPr>
          <w:ilvl w:val="0"/>
          <w:numId w:val="1002"/>
        </w:numPr>
        <w:spacing w:lineRule="exact" w:line="480" w:before="0" w:after="0"/>
      </w:pPr>
      <w:r>
        <w:rPr>
          <w:bCs/>
          <w:b/>
        </w:rPr>
        <w:t xml:space="preserve">Return or destruction.</w:t>
      </w:r>
      <w:r>
        <w:t xml:space="preserve"> </w:t>
      </w:r>
      <w:r>
        <w:t xml:space="preserve">At the conclusion of this action, classified information shall be</w:t>
      </w:r>
      <w:r>
        <w:t xml:space="preserve"> </w:t>
      </w:r>
      <w:r>
        <w:t xml:space="preserve">returned to the CISO.</w:t>
      </w:r>
    </w:p>
    <w:p>
      <w:pPr>
        <w:numPr>
          <w:ilvl w:val="0"/>
          <w:numId w:val="1002"/>
        </w:numPr>
        <w:spacing w:lineRule="exact" w:line="480" w:before="0" w:after="0"/>
      </w:pPr>
      <w:r>
        <w:rPr>
          <w:bCs/>
          <w:b/>
        </w:rPr>
        <w:t xml:space="preserve">Sanctions.</w:t>
      </w:r>
      <w:r>
        <w:t xml:space="preserve"> </w:t>
      </w:r>
      <w:r>
        <w:t xml:space="preserve">Violation of this Order may result in sanctions, including contempt, and may</w:t>
      </w:r>
      <w:r>
        <w:t xml:space="preserve"> </w:t>
      </w:r>
      <w:r>
        <w:t xml:space="preserve">constitute a violation of criminal law.</w:t>
      </w:r>
    </w:p>
    <w:p>
      <w:pPr>
        <w:pStyle w:val="FirstParagraph"/>
        <w:spacing w:lineRule="exact" w:line="480" w:before="0" w:after="0"/>
      </w:pPr>
      <w:r>
        <w:t xml:space="preserve">SO ORDERED.</w:t>
      </w:r>
    </w:p>
    <w:p>
      <w:pPr>
        <w:pStyle w:val="BodyText"/>
        <w:spacing w:lineRule="exact" w:line="480" w:before="0" w:after="0"/>
      </w:pPr>
      <w:r>
        <w:t xml:space="preserve">Dated: [__________] ____________________________</w:t>
      </w:r>
      <w:r>
        <w:t xml:space="preserve"> </w:t>
      </w:r>
      <w:r>
        <w:t xml:space="preserve">United States District Judge</w:t>
      </w:r>
    </w:p>
    <w:p>
      <w:pPr>
        <w:pStyle w:val="BodyText"/>
        <w:spacing w:lineRule="exact" w:line="480" w:before="0" w:after="0"/>
        <w:ind w:firstLine="720"/>
      </w:pPr>
      <w:r>
        <w:rPr>
          <w:bCs/>
          <w:b/>
        </w:rPr>
        <w:t xml:space="preserve">Exhibit A. Memorandum of Understanding Regarding Receipt, Storage, and Handling of Classified Information</w:t>
      </w:r>
    </w:p>
    <w:p>
      <w:pPr>
        <w:pStyle w:val="BodyText"/>
        <w:spacing w:lineRule="exact" w:line="480" w:before="0" w:after="0"/>
      </w:pPr>
      <w:r>
        <w:t xml:space="preserve">I, [name], agree as follows:</w:t>
      </w:r>
    </w:p>
    <w:p>
      <w:pPr>
        <w:pStyle w:val="Compact"/>
        <w:numPr>
          <w:ilvl w:val="0"/>
          <w:numId w:val="1003"/>
        </w:numPr>
        <w:spacing w:lineRule="exact" w:line="480" w:before="0" w:after="0"/>
      </w:pPr>
      <w:r>
        <w:t xml:space="preserve">I have been given access, or may be given access, to classified information in connection with [caption, Civil</w:t>
      </w:r>
      <w:r>
        <w:t xml:space="preserve"> </w:t>
      </w:r>
      <w:r>
        <w:t xml:space="preserve">Action No. ____] (the</w:t>
      </w:r>
      <w:r>
        <w:t xml:space="preserve"> </w:t>
      </w:r>
      <w:r>
        <w:t xml:space="preserve">“</w:t>
      </w:r>
      <w:r>
        <w:t xml:space="preserve">Action</w:t>
      </w:r>
      <w:r>
        <w:t xml:space="preserve">”</w:t>
      </w:r>
      <w:r>
        <w:t xml:space="preserve">) under the Protective Order entered by the Court on [date].</w:t>
      </w:r>
    </w:p>
    <w:p>
      <w:pPr>
        <w:pStyle w:val="Compact"/>
        <w:numPr>
          <w:ilvl w:val="0"/>
          <w:numId w:val="1003"/>
        </w:numPr>
        <w:spacing w:lineRule="exact" w:line="480" w:before="0" w:after="0"/>
      </w:pPr>
      <w:r>
        <w:t xml:space="preserve">I will not disclose classified information to any person except (a) the Court, (b) a person who holds the</w:t>
      </w:r>
      <w:r>
        <w:t xml:space="preserve"> </w:t>
      </w:r>
      <w:r>
        <w:t xml:space="preserve">appropriate clearance, has been determined to have a need to know, and has signed this Memorandum, and (c) as the</w:t>
      </w:r>
      <w:r>
        <w:t xml:space="preserve"> </w:t>
      </w:r>
      <w:r>
        <w:t xml:space="preserve">Protective Order otherwise permits. I will not disclose classified information to my client unless the client</w:t>
      </w:r>
      <w:r>
        <w:t xml:space="preserve"> </w:t>
      </w:r>
      <w:r>
        <w:t xml:space="preserve">provided it, or the Court orders otherwise.</w:t>
      </w:r>
    </w:p>
    <w:p>
      <w:pPr>
        <w:pStyle w:val="Compact"/>
        <w:numPr>
          <w:ilvl w:val="0"/>
          <w:numId w:val="1003"/>
        </w:numPr>
        <w:spacing w:lineRule="exact" w:line="480" w:before="0" w:after="0"/>
      </w:pPr>
      <w:r>
        <w:t xml:space="preserve">I will review, discuss, store, and prepare documents containing classified information only in the secure area</w:t>
      </w:r>
      <w:r>
        <w:t xml:space="preserve"> </w:t>
      </w:r>
      <w:r>
        <w:t xml:space="preserve">approved by the Classified Information Security Officer, using only equipment the CISO has approved.</w:t>
      </w:r>
    </w:p>
    <w:p>
      <w:pPr>
        <w:pStyle w:val="Compact"/>
        <w:numPr>
          <w:ilvl w:val="0"/>
          <w:numId w:val="1003"/>
        </w:numPr>
        <w:spacing w:lineRule="exact" w:line="480" w:before="0" w:after="0"/>
      </w:pPr>
      <w:r>
        <w:t xml:space="preserve">I will submit any document that I believe may contain classified information to the CISO for classification</w:t>
      </w:r>
      <w:r>
        <w:t xml:space="preserve"> </w:t>
      </w:r>
      <w:r>
        <w:t xml:space="preserve">review before filing it publicly or providing it to any person not authorized to receive it.</w:t>
      </w:r>
    </w:p>
    <w:p>
      <w:pPr>
        <w:pStyle w:val="Compact"/>
        <w:numPr>
          <w:ilvl w:val="0"/>
          <w:numId w:val="1003"/>
        </w:numPr>
        <w:spacing w:lineRule="exact" w:line="480" w:before="0" w:after="0"/>
      </w:pPr>
      <w:r>
        <w:t xml:space="preserve">I will not use classified information obtained in the Action for any purpose other than the Action.</w:t>
      </w:r>
    </w:p>
    <w:p>
      <w:pPr>
        <w:pStyle w:val="Compact"/>
        <w:numPr>
          <w:ilvl w:val="0"/>
          <w:numId w:val="1003"/>
        </w:numPr>
        <w:spacing w:lineRule="exact" w:line="480" w:before="0" w:after="0"/>
      </w:pPr>
      <w:r>
        <w:t xml:space="preserve">I understand that my obligations continue after the Action ends, that I must return all classified information</w:t>
      </w:r>
      <w:r>
        <w:t xml:space="preserve"> </w:t>
      </w:r>
      <w:r>
        <w:t xml:space="preserve">to the CISO at the end of the Action, and that unauthorized disclosure may violate federal criminal law, including</w:t>
      </w:r>
      <w:r>
        <w:t xml:space="preserve"> </w:t>
      </w:r>
      <w:r>
        <w:t xml:space="preserve">18 U.S.C. §§793, 798, and 1924, and may be punished as contempt of court.</w:t>
      </w:r>
    </w:p>
    <w:p>
      <w:pPr>
        <w:pStyle w:val="Compact"/>
        <w:numPr>
          <w:ilvl w:val="0"/>
          <w:numId w:val="1003"/>
        </w:numPr>
        <w:spacing w:lineRule="exact" w:line="480" w:before="0" w:after="0"/>
      </w:pPr>
      <w:r>
        <w:t xml:space="preserve">I have read the Protective Order and agree to be bound by it. I consent to the Court’s jurisdiction to enforce</w:t>
      </w:r>
      <w:r>
        <w:t xml:space="preserve"> </w:t>
      </w:r>
      <w:r>
        <w:t xml:space="preserve">this Memorandum.</w:t>
      </w:r>
    </w:p>
    <w:p>
      <w:pPr>
        <w:pStyle w:val="FirstParagraph"/>
        <w:spacing w:lineRule="exact" w:line="480" w:before="0" w:after="0"/>
      </w:pPr>
      <w:r>
        <w:t xml:space="preserve">[Signature] [Date]</w:t>
      </w:r>
      <w:r>
        <w:br/>
      </w:r>
      <w:r>
        <w:t xml:space="preserve">[Printed name; organization; role in the Action]</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1" w:name="drafting-notes"/>
    <w:p>
      <w:pPr>
        <w:pStyle w:val="Heading2"/>
      </w:pPr>
      <w:r>
        <w:t xml:space="preserve">Drafting notes</w:t>
      </w:r>
    </w:p>
    <w:p>
      <w:pPr>
        <w:pStyle w:val="Compact"/>
        <w:numPr>
          <w:ilvl w:val="0"/>
          <w:numId w:val="1004"/>
        </w:numPr>
      </w:pPr>
      <w:r>
        <w:t xml:space="preserve">Confirm current local practice with the CISO before filing; Litigation Security Group procedures</w:t>
      </w:r>
      <w:r>
        <w:t xml:space="preserve"> </w:t>
      </w:r>
      <w:r>
        <w:t xml:space="preserve">change.</w:t>
      </w:r>
    </w:p>
    <w:p>
      <w:pPr>
        <w:pStyle w:val="Compact"/>
        <w:numPr>
          <w:ilvl w:val="0"/>
          <w:numId w:val="1004"/>
        </w:numPr>
      </w:pPr>
      <w:r>
        <w:t xml:space="preserve">In a contractor-only case (no federal defendant), the government may intervene or file a statement</w:t>
      </w:r>
      <w:r>
        <w:t xml:space="preserve"> </w:t>
      </w:r>
      <w:r>
        <w:t xml:space="preserve">of interest. Serve the U.S. Attorney and consider notice under 28 U.S.C. § 517.</w:t>
      </w:r>
    </w:p>
    <w:p>
      <w:pPr>
        <w:pStyle w:val="Compact"/>
        <w:numPr>
          <w:ilvl w:val="0"/>
          <w:numId w:val="1004"/>
        </w:numPr>
      </w:pPr>
      <w:r>
        <w:t xml:space="preserve">If the case is in the Court of Federal Claims, cite the Court’s 2021</w:t>
      </w:r>
      <w:r>
        <w:t xml:space="preserve"> </w:t>
      </w:r>
      <w:r>
        <w:rPr>
          <w:iCs/>
          <w:i/>
        </w:rPr>
        <w:t xml:space="preserve">Guidelines for Classified</w:t>
      </w:r>
      <w:r>
        <w:rPr>
          <w:iCs/>
          <w:i/>
        </w:rPr>
        <w:t xml:space="preserve"> </w:t>
      </w:r>
      <w:r>
        <w:rPr>
          <w:iCs/>
          <w:i/>
        </w:rPr>
        <w:t xml:space="preserve">Information</w:t>
      </w:r>
      <w:r>
        <w:t xml:space="preserve"> </w:t>
      </w:r>
      <w:r>
        <w:t xml:space="preserve">and RCFC 26(c).</w:t>
      </w:r>
    </w:p>
    <w:p>
      <w:pPr>
        <w:pStyle w:val="Compact"/>
        <w:numPr>
          <w:ilvl w:val="0"/>
          <w:numId w:val="1004"/>
        </w:numPr>
      </w:pPr>
      <w:r>
        <w:t xml:space="preserve">Do not attach or describe anything that may be classified. Counsel who receives information that</w:t>
      </w:r>
      <w:r>
        <w:t xml:space="preserve"> </w:t>
      </w:r>
      <w:r>
        <w:t xml:space="preserve">may be classified from a client should contact the CISO or the agency’s security office before</w:t>
      </w:r>
      <w:r>
        <w:t xml:space="preserve"> </w:t>
      </w:r>
      <w:r>
        <w:t xml:space="preserve">using it.</w:t>
      </w:r>
    </w:p>
    <w:bookmarkEnd w:id="21"/>
    <w:bookmarkEnd w:id="22"/>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PLAINTIFF'S MOTION FOR ENTRY OF A PROTECTIVE ORDER GOVERNING CLASSIFIED INFORMATION AND FOR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tabs>
          <w:tab w:val="num" w:pos="1440"/>
        </w:tabs>
        <w:ind w:left="0" w:firstLine="72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a2-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a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A1-1. Motion for Entry of a Protective Order Governing Classified Information (Civil)</dc:title>
  <dc:creator>nhilaw.com</dc:creator>
  <cp:keywords/>
  <dcterms:created xsi:type="dcterms:W3CDTF">2026-10-19T03:11:39Z</dcterms:created>
  <dcterms:modified xsi:type="dcterms:W3CDTF">2026-10-19T03:11:39Z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