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2" w:name="X3c67f5d98f5db547bd8699d53e8f185cb9c7cf8"/>
    <w:p>
      <w:pPr>
        <w:pStyle w:val="Heading1"/>
      </w:pPr>
      <w:r>
        <w:t xml:space="preserve">Form A2-1. FOIA and Mandatory Declassification Review Request for UAP-Related Directives, Legal Opinions, and Classification Guides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https://nhilaw.com/forms/a2-1.html</w:t>
      </w:r>
    </w:p>
    <w:p>
      <w:pPr>
        <w:pStyle w:val="BodyText"/>
        <w:spacing w:after="160" w:line="259" w:lineRule="auto"/>
      </w:pPr>
      <w:r>
        <w:rPr>
          <w:bCs/>
          <w:b/>
        </w:rPr>
        <w:t xml:space="preserve">Use.</w:t>
      </w:r>
      <w:r>
        <w:t xml:space="preserve"> </w:t>
      </w:r>
      <w:r>
        <w:t xml:space="preserve">Seeks the instruments said to govern UAP programs: presidential directives as received and</w:t>
      </w:r>
      <w:r>
        <w:t xml:space="preserve"> </w:t>
      </w:r>
      <w:r>
        <w:t xml:space="preserve">implemented by agencies, Office of Legal Counsel opinions, security classification guides, and special</w:t>
      </w:r>
      <w:r>
        <w:t xml:space="preserve"> </w:t>
      </w:r>
      <w:r>
        <w:t xml:space="preserve">access program documentation. The request is drafted to avoid the problems courts have identified:</w:t>
      </w:r>
      <w:r>
        <w:t xml:space="preserve"> </w:t>
      </w:r>
      <w:r>
        <w:t xml:space="preserve">directives held only by the White House or NSC (the agency-record argument accepted in</w:t>
      </w:r>
      <w:r>
        <w:t xml:space="preserve"> </w:t>
      </w:r>
      <w:r>
        <w:rPr>
          <w:iCs/>
          <w:i/>
        </w:rPr>
        <w:t xml:space="preserve">EPIC v. NSA</w:t>
      </w:r>
      <w:r>
        <w:t xml:space="preserve">, 988 F. Supp. 2d 1 (D.D.C. 2013), vacated in part,</w:t>
      </w:r>
      <w:r>
        <w:t xml:space="preserve"> </w:t>
      </w:r>
      <w:r>
        <w:t xml:space="preserve">No. 13-5369 (D.C. Cir. July 31, 2014);</w:t>
      </w:r>
      <w:r>
        <w:t xml:space="preserve"> </w:t>
      </w:r>
      <w:r>
        <w:rPr>
          <w:iCs/>
          <w:i/>
        </w:rPr>
        <w:t xml:space="preserve">Main</w:t>
      </w:r>
      <w:r>
        <w:rPr>
          <w:iCs/>
          <w:i/>
        </w:rPr>
        <w:t xml:space="preserve"> </w:t>
      </w:r>
      <w:r>
        <w:rPr>
          <w:iCs/>
          <w:i/>
        </w:rPr>
        <w:t xml:space="preserve">Street Legal Servs. v. NSC</w:t>
      </w:r>
      <w:r>
        <w:t xml:space="preserve">, 811 F.3d 542 (2d Cir. 2016)); vague subject-matter descriptions; and</w:t>
      </w:r>
      <w:r>
        <w:t xml:space="preserve"> </w:t>
      </w:r>
      <w:r>
        <w:t xml:space="preserve">searches that omit obvious synonyms (</w:t>
      </w:r>
      <w:r>
        <w:rPr>
          <w:iCs/>
          <w:i/>
        </w:rPr>
        <w:t xml:space="preserve">Slaughter v. Dep’t of the Air Force</w:t>
      </w:r>
      <w:r>
        <w:t xml:space="preserve">, 2026 WL 571249 (D.D.C. Mar.</w:t>
      </w:r>
      <w:r>
        <w:t xml:space="preserve"> </w:t>
      </w:r>
      <w:r>
        <w:t xml:space="preserve">2, 2026)).</w:t>
      </w:r>
    </w:p>
    <w:p>
      <w:pPr>
        <w:pStyle w:val="BodyText"/>
        <w:spacing w:after="160" w:line="259" w:lineRule="auto"/>
      </w:pPr>
      <w:r>
        <w:rPr>
          <w:bCs/>
          <w:b/>
        </w:rPr>
        <w:t xml:space="preserve">Where to send.</w:t>
      </w:r>
      <w:r>
        <w:t xml:space="preserve"> </w:t>
      </w:r>
      <w:r>
        <w:t xml:space="preserve">FOIA officers for: Office of the Secretary of War / Joint Staff (DoD ESD); AARO</w:t>
      </w:r>
      <w:r>
        <w:t xml:space="preserve"> </w:t>
      </w:r>
      <w:r>
        <w:t xml:space="preserve">(through OSD); Department of the Air Force (including NASIC and SAF/AQL, Special Programs); Department</w:t>
      </w:r>
      <w:r>
        <w:t xml:space="preserve"> </w:t>
      </w:r>
      <w:r>
        <w:t xml:space="preserve">of the Navy (including ONI); Department of the Army; DIA; NRO; NGA; NSA; CIA; ODNI; DOE (including</w:t>
      </w:r>
      <w:r>
        <w:t xml:space="preserve"> </w:t>
      </w:r>
      <w:r>
        <w:t xml:space="preserve">Office of Intelligence and Counterintelligence and NNSA); NASA; FBI; DOJ Office of Legal Counsel; DOJ</w:t>
      </w:r>
      <w:r>
        <w:t xml:space="preserve"> </w:t>
      </w:r>
      <w:r>
        <w:t xml:space="preserve">National Security Division; Department of State. For MDR, send to the same components’ MDR offices</w:t>
      </w:r>
      <w:r>
        <w:t xml:space="preserve"> </w:t>
      </w:r>
      <w:r>
        <w:t xml:space="preserve">under EO 13526 §3.5 and 32 C.F.R. §2001.33.</w:t>
      </w:r>
    </w:p>
    <w:p>
      <w:pPr>
        <w:pStyle w:val="BodyText"/>
        <w:spacing w:after="160" w:line="259" w:lineRule="auto"/>
      </w:pPr>
      <w:r>
        <w:rPr>
          <w:bCs/>
          <w:b/>
        </w:rPr>
        <w:t xml:space="preserve">When to use.</w:t>
      </w:r>
      <w:r>
        <w:t xml:space="preserve"> </w:t>
      </w:r>
      <w:r>
        <w:t xml:space="preserve">Requesting directives, guides, and other instruments that govern UAP handling, by FOIA or mandatory declassification review.</w:t>
      </w:r>
      <w:r>
        <w:t xml:space="preserve"> </w:t>
      </w:r>
      <w:r>
        <w:rPr>
          <w:bCs/>
          <w:b/>
        </w:rPr>
        <w:t xml:space="preserve">Not for:</w:t>
      </w:r>
      <w:r>
        <w:t xml:space="preserve"> </w:t>
      </w:r>
      <w:r>
        <w:t xml:space="preserve">Records of a particular event (</w:t>
      </w:r>
      <w:hyperlink r:id="rId20">
        <w:r>
          <w:rPr>
            <w:rStyle w:val="Hyperlink"/>
          </w:rPr>
          <w:t xml:space="preserve">Form B1-1</w:t>
        </w:r>
      </w:hyperlink>
      <w:r>
        <w:t xml:space="preserve">).</w:t>
      </w:r>
    </w:p>
    <w:p>
      <w:pPr>
        <w:pStyle w:val="BodyText"/>
        <w:spacing w:after="160" w:line="259" w:lineRule="auto"/>
      </w:pPr>
      <w:r>
        <w:rPr>
          <w:bCs/>
          <w:b/>
        </w:rPr>
        <w:t xml:space="preserve">Deadlines.</w:t>
      </w:r>
      <w:r>
        <w:t xml:space="preserve"> </w:t>
      </w:r>
      <w:r>
        <w:t xml:space="preserve">FOIA: determination within 20 working days (5 U.S.C. §552(a)(6)(A)(i)); appeal at least 90 days after a denial. MDR: final determination within one year; appeal within 60 days of a denial; agency appeal decision normally within 60 working days (32 C.F.R. §2001.33).</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name, organization, address, email, phone]</w:t>
      </w:r>
    </w:p>
    <w:p>
      <w:pPr>
        <w:pStyle w:val="BodyText"/>
      </w:pPr>
      <w:r>
        <w:t xml:space="preserve">[Date]</w:t>
      </w:r>
    </w:p>
    <w:p>
      <w:pPr>
        <w:pStyle w:val="BodyText"/>
      </w:pPr>
      <w:r>
        <w:t xml:space="preserve">[Agency] FOIA / Mandatory Declassification Review Office</w:t>
      </w:r>
      <w:r>
        <w:br/>
      </w:r>
      <w:r>
        <w:t xml:space="preserve">[Address / portal]</w:t>
      </w:r>
    </w:p>
    <w:p>
      <w:pPr>
        <w:pStyle w:val="BodyText"/>
      </w:pPr>
      <w:r>
        <w:rPr>
          <w:bCs/>
          <w:b/>
        </w:rPr>
        <w:t xml:space="preserve">Re: Freedom of Information Act request [and, in the alternative or in parallel, Mandatory</w:t>
      </w:r>
      <w:r>
        <w:rPr>
          <w:bCs/>
          <w:b/>
        </w:rPr>
        <w:t xml:space="preserve"> </w:t>
      </w:r>
      <w:r>
        <w:rPr>
          <w:bCs/>
          <w:b/>
        </w:rPr>
        <w:t xml:space="preserve">Declassification Review request] for directives, legal opinions, and classification guidance</w:t>
      </w:r>
      <w:r>
        <w:rPr>
          <w:bCs/>
          <w:b/>
        </w:rPr>
        <w:t xml:space="preserve"> </w:t>
      </w:r>
      <w:r>
        <w:rPr>
          <w:bCs/>
          <w:b/>
        </w:rPr>
        <w:t xml:space="preserve">concerning unidentified anomalous phenomena</w:t>
      </w:r>
    </w:p>
    <w:p>
      <w:pPr>
        <w:pStyle w:val="BodyText"/>
      </w:pPr>
      <w:r>
        <w:t xml:space="preserve">Dear FOIA Officer:</w:t>
      </w:r>
    </w:p>
    <w:p>
      <w:pPr>
        <w:pStyle w:val="BodyText"/>
      </w:pPr>
      <w:r>
        <w:t xml:space="preserve">Under the Freedom of Information Act, 5 U.S.C. §552, I request copies of the following records. [For</w:t>
      </w:r>
      <w:r>
        <w:t xml:space="preserve"> </w:t>
      </w:r>
      <w:r>
        <w:t xml:space="preserve">MDR: Under section 3.5 of Executive Order 13526, I request declassification review of the records</w:t>
      </w:r>
      <w:r>
        <w:t xml:space="preserve"> </w:t>
      </w:r>
      <w:r>
        <w:t xml:space="preserve">described in items 1 through 5.]</w:t>
      </w:r>
    </w:p>
    <w:p>
      <w:pPr>
        <w:pStyle w:val="BodyText"/>
      </w:pPr>
      <w:r>
        <w:rPr>
          <w:bCs/>
          <w:b/>
        </w:rPr>
        <w:t xml:space="preserve">Definitions.</w:t>
      </w:r>
      <w:r>
        <w:t xml:space="preserve"> </w:t>
      </w:r>
      <w:r>
        <w:t xml:space="preserve">“</w:t>
      </w:r>
      <w:r>
        <w:t xml:space="preserve">UAP</w:t>
      </w:r>
      <w:r>
        <w:t xml:space="preserve">”</w:t>
      </w:r>
      <w:r>
        <w:t xml:space="preserve"> </w:t>
      </w:r>
      <w:r>
        <w:t xml:space="preserve">means unidentified anomalous phenomena as defined in 50 U.S.C. §3373(n)(8) and includes the terms</w:t>
      </w:r>
      <w:r>
        <w:t xml:space="preserve"> </w:t>
      </w:r>
      <w:r>
        <w:t xml:space="preserve">“</w:t>
      </w:r>
      <w:r>
        <w:t xml:space="preserve">unidentified aerial phenomena,</w:t>
      </w:r>
      <w:r>
        <w:t xml:space="preserve">”</w:t>
      </w:r>
      <w:r>
        <w:t xml:space="preserve"> </w:t>
      </w:r>
      <w:r>
        <w:t xml:space="preserve">“</w:t>
      </w:r>
      <w:r>
        <w:t xml:space="preserve">unidentified aerospace</w:t>
      </w:r>
      <w:r>
        <w:t xml:space="preserve"> </w:t>
      </w:r>
      <w:r>
        <w:t xml:space="preserve">phenomena,</w:t>
      </w:r>
      <w:r>
        <w:t xml:space="preserve">”</w:t>
      </w:r>
      <w:r>
        <w:t xml:space="preserve"> </w:t>
      </w:r>
      <w:r>
        <w:t xml:space="preserve">“</w:t>
      </w:r>
      <w:r>
        <w:t xml:space="preserve">unidentified flying objects,</w:t>
      </w:r>
      <w:r>
        <w:t xml:space="preserve">”</w:t>
      </w:r>
      <w:r>
        <w:t xml:space="preserve"> </w:t>
      </w:r>
      <w:r>
        <w:t xml:space="preserve">“</w:t>
      </w:r>
      <w:r>
        <w:t xml:space="preserve">UFO,</w:t>
      </w:r>
      <w:r>
        <w:t xml:space="preserve">”</w:t>
      </w:r>
      <w:r>
        <w:t xml:space="preserve"> </w:t>
      </w:r>
      <w:r>
        <w:t xml:space="preserve">“</w:t>
      </w:r>
      <w:r>
        <w:t xml:space="preserve">UAP,</w:t>
      </w:r>
      <w:r>
        <w:t xml:space="preserve">”</w:t>
      </w:r>
      <w:r>
        <w:t xml:space="preserve"> </w:t>
      </w:r>
      <w:r>
        <w:t xml:space="preserve">“</w:t>
      </w:r>
      <w:r>
        <w:t xml:space="preserve">flying saucers,</w:t>
      </w:r>
      <w:r>
        <w:t xml:space="preserve">”</w:t>
      </w:r>
      <w:r>
        <w:t xml:space="preserve"> </w:t>
      </w:r>
      <w:r>
        <w:t xml:space="preserve">“</w:t>
      </w:r>
      <w:r>
        <w:t xml:space="preserve">flying discs,</w:t>
      </w:r>
      <w:r>
        <w:t xml:space="preserve">”</w:t>
      </w:r>
      <w:r>
        <w:t xml:space="preserve"> </w:t>
      </w:r>
      <w:r>
        <w:t xml:space="preserve">“</w:t>
      </w:r>
      <w:r>
        <w:t xml:space="preserve">anomalous,</w:t>
      </w:r>
      <w:r>
        <w:t xml:space="preserve">”</w:t>
      </w:r>
      <w:r>
        <w:t xml:space="preserve"> </w:t>
      </w:r>
      <w:r>
        <w:t xml:space="preserve">“</w:t>
      </w:r>
      <w:r>
        <w:t xml:space="preserve">non-human intelligence,</w:t>
      </w:r>
      <w:r>
        <w:t xml:space="preserve">”</w:t>
      </w:r>
      <w:r>
        <w:t xml:space="preserve"> </w:t>
      </w:r>
      <w:r>
        <w:t xml:space="preserve">“</w:t>
      </w:r>
      <w:r>
        <w:t xml:space="preserve">NHI,</w:t>
      </w:r>
      <w:r>
        <w:t xml:space="preserve">”</w:t>
      </w:r>
      <w:r>
        <w:t xml:space="preserve"> </w:t>
      </w:r>
      <w:r>
        <w:t xml:space="preserve">“</w:t>
      </w:r>
      <w:r>
        <w:t xml:space="preserve">technologies of unknown origin,</w:t>
      </w:r>
      <w:r>
        <w:t xml:space="preserve">”</w:t>
      </w:r>
      <w:r>
        <w:t xml:space="preserve"> </w:t>
      </w:r>
      <w:r>
        <w:t xml:space="preserve">and</w:t>
      </w:r>
      <w:r>
        <w:t xml:space="preserve"> </w:t>
      </w:r>
      <w:r>
        <w:t xml:space="preserve">“</w:t>
      </w:r>
      <w:r>
        <w:t xml:space="preserve">biological</w:t>
      </w:r>
      <w:r>
        <w:t xml:space="preserve"> </w:t>
      </w:r>
      <w:r>
        <w:t xml:space="preserve">evidence of non-human intelligence.</w:t>
      </w:r>
      <w:r>
        <w:t xml:space="preserve">”</w:t>
      </w:r>
      <w:r>
        <w:t xml:space="preserve"> </w:t>
      </w:r>
      <w:r>
        <w:t xml:space="preserve">“</w:t>
      </w:r>
      <w:r>
        <w:t xml:space="preserve">Directive</w:t>
      </w:r>
      <w:r>
        <w:t xml:space="preserve">”</w:t>
      </w:r>
      <w:r>
        <w:t xml:space="preserve"> </w:t>
      </w:r>
      <w:r>
        <w:t xml:space="preserve">includes any executive order, national security</w:t>
      </w:r>
      <w:r>
        <w:t xml:space="preserve"> </w:t>
      </w:r>
      <w:r>
        <w:t xml:space="preserve">directive of any series (including NSAM, NSDM, PD, NSDD, NSD, PDD, NSPD, HSPD, PPD, NSPM, and NSM),</w:t>
      </w:r>
      <w:r>
        <w:t xml:space="preserve"> </w:t>
      </w:r>
      <w:r>
        <w:t xml:space="preserve">presidential memorandum, presidential finding, memorandum of notification, and any instruction from</w:t>
      </w:r>
      <w:r>
        <w:t xml:space="preserve"> </w:t>
      </w:r>
      <w:r>
        <w:t xml:space="preserve">the Executive Office of the President.</w:t>
      </w:r>
    </w:p>
    <w:p>
      <w:pPr>
        <w:pStyle w:val="BodyText"/>
      </w:pPr>
      <w:r>
        <w:rPr>
          <w:bCs/>
          <w:b/>
        </w:rPr>
        <w:t xml:space="preserve">Records requested.</w:t>
      </w:r>
    </w:p>
    <w:p>
      <w:pPr>
        <w:pStyle w:val="Compact"/>
        <w:numPr>
          <w:ilvl w:val="0"/>
          <w:numId w:val="1001"/>
        </w:numPr>
      </w:pPr>
      <w:r>
        <w:t xml:space="preserve">Any directive, in the form received by or transmitted to [agency], that addresses UAP, including</w:t>
      </w:r>
      <w:r>
        <w:t xml:space="preserve"> </w:t>
      </w:r>
      <w:r>
        <w:t xml:space="preserve">the reporting, investigation, collection, retrieval, storage, analysis, or exploitation of UAP or</w:t>
      </w:r>
      <w:r>
        <w:t xml:space="preserve"> </w:t>
      </w:r>
      <w:r>
        <w:t xml:space="preserve">of materials or technology associated with UAP, from January 1, 1947 to the date of the search.</w:t>
      </w:r>
    </w:p>
    <w:p>
      <w:pPr>
        <w:pStyle w:val="Compact"/>
        <w:numPr>
          <w:ilvl w:val="0"/>
          <w:numId w:val="1001"/>
        </w:numPr>
      </w:pPr>
      <w:r>
        <w:t xml:space="preserve">Any implementing instruction, memorandum, or guidance issued by [agency] under a directive described</w:t>
      </w:r>
      <w:r>
        <w:t xml:space="preserve"> </w:t>
      </w:r>
      <w:r>
        <w:t xml:space="preserve">in item 1.</w:t>
      </w:r>
    </w:p>
    <w:p>
      <w:pPr>
        <w:pStyle w:val="Compact"/>
        <w:numPr>
          <w:ilvl w:val="0"/>
          <w:numId w:val="1001"/>
        </w:numPr>
      </w:pPr>
      <w:r>
        <w:t xml:space="preserve">Any opinion, memorandum, or letter of the Department of Justice Office of Legal Counsel received by</w:t>
      </w:r>
      <w:r>
        <w:t xml:space="preserve"> </w:t>
      </w:r>
      <w:r>
        <w:t xml:space="preserve">[agency] concerning UAP, concerning the authority to withhold UAP-related information from Congress,</w:t>
      </w:r>
      <w:r>
        <w:t xml:space="preserve"> </w:t>
      </w:r>
      <w:r>
        <w:t xml:space="preserve">or concerning the application of 50 U.S.C. §3373b, Pub. L. No. 118-31, §1687, or Pub. L. No. 118-31,</w:t>
      </w:r>
      <w:r>
        <w:t xml:space="preserve"> </w:t>
      </w:r>
      <w:r>
        <w:t xml:space="preserve">§§1841-1843.</w:t>
      </w:r>
    </w:p>
    <w:p>
      <w:pPr>
        <w:pStyle w:val="Compact"/>
        <w:numPr>
          <w:ilvl w:val="0"/>
          <w:numId w:val="1001"/>
        </w:numPr>
      </w:pPr>
      <w:r>
        <w:t xml:space="preserve">Every security classification guide, classification matrix, or portion of a guide that addresses</w:t>
      </w:r>
      <w:r>
        <w:t xml:space="preserve"> </w:t>
      </w:r>
      <w:r>
        <w:t xml:space="preserve">UAP, including any guide identified in response to the FY2026 National Defense Authorization Act’s</w:t>
      </w:r>
      <w:r>
        <w:t xml:space="preserve"> </w:t>
      </w:r>
      <w:r>
        <w:t xml:space="preserve">requirement that AARO account for UAP-related classification guides.</w:t>
      </w:r>
    </w:p>
    <w:p>
      <w:pPr>
        <w:pStyle w:val="Compact"/>
        <w:numPr>
          <w:ilvl w:val="0"/>
          <w:numId w:val="1001"/>
        </w:numPr>
      </w:pPr>
      <w:r>
        <w:t xml:space="preserve">Records sufficient to show the title, number, date, and originating office of each item responsive</w:t>
      </w:r>
      <w:r>
        <w:t xml:space="preserve"> </w:t>
      </w:r>
      <w:r>
        <w:t xml:space="preserve">to items 1 through 4 that [agency] withholds in full.</w:t>
      </w:r>
      <w:r>
        <w:br/>
      </w:r>
      <w:r>
        <w:t xml:space="preserve">5A. Specific instruments, to the extent they exist and are held by [agency]:</w:t>
      </w:r>
    </w:p>
    <w:p>
      <w:pPr>
        <w:pStyle w:val="Compact"/>
        <w:numPr>
          <w:ilvl w:val="0"/>
          <w:numId w:val="1000"/>
        </w:numPr>
      </w:pPr>
      <w:r>
        <w:t xml:space="preserve">(a) the</w:t>
      </w:r>
      <w:r>
        <w:t xml:space="preserve"> </w:t>
      </w:r>
      <w:r>
        <w:t xml:space="preserve">“</w:t>
      </w:r>
      <w:r>
        <w:t xml:space="preserve">classified policy parameters</w:t>
      </w:r>
      <w:r>
        <w:t xml:space="preserve">”</w:t>
      </w:r>
      <w:r>
        <w:t xml:space="preserve"> </w:t>
      </w:r>
      <w:r>
        <w:t xml:space="preserve">for responding to unidentified aerial objects that the President</w:t>
      </w:r>
      <w:r>
        <w:t xml:space="preserve"> </w:t>
      </w:r>
      <w:r>
        <w:t xml:space="preserve">described on February 16, 2023, in the form received by [agency];</w:t>
      </w:r>
    </w:p>
    <w:p>
      <w:pPr>
        <w:pStyle w:val="Compact"/>
        <w:numPr>
          <w:ilvl w:val="0"/>
          <w:numId w:val="1000"/>
        </w:numPr>
      </w:pPr>
      <w:r>
        <w:t xml:space="preserve">(b) the</w:t>
      </w:r>
      <w:r>
        <w:t xml:space="preserve"> </w:t>
      </w:r>
      <w:r>
        <w:t xml:space="preserve">“</w:t>
      </w:r>
      <w:r>
        <w:t xml:space="preserve">UAP Security Classification Guide</w:t>
      </w:r>
      <w:r>
        <w:t xml:space="preserve">”</w:t>
      </w:r>
      <w:r>
        <w:t xml:space="preserve"> </w:t>
      </w:r>
      <w:r>
        <w:t xml:space="preserve">referenced in the Joint Staff J3 GENADMIN of May 19, 2023 (DoD FOIA</w:t>
      </w:r>
      <w:r>
        <w:t xml:space="preserve"> </w:t>
      </w:r>
      <w:r>
        <w:t xml:space="preserve">24-F-0067), and any successor guide;</w:t>
      </w:r>
      <w:r>
        <w:br/>
      </w:r>
    </w:p>
    <w:p>
      <w:pPr>
        <w:pStyle w:val="Compact"/>
        <w:numPr>
          <w:ilvl w:val="0"/>
          <w:numId w:val="1000"/>
        </w:numPr>
      </w:pPr>
      <w:r>
        <w:t xml:space="preserve">(c) any memorandum establishing or terminating the Airborne Object Identification and Management Synchronization</w:t>
      </w:r>
      <w:r>
        <w:t xml:space="preserve"> </w:t>
      </w:r>
      <w:r>
        <w:t xml:space="preserve">Group (AOIMSG) or establishing AARO; and</w:t>
      </w:r>
      <w:r>
        <w:br/>
      </w:r>
    </w:p>
    <w:p>
      <w:pPr>
        <w:pStyle w:val="Compact"/>
        <w:numPr>
          <w:ilvl w:val="0"/>
          <w:numId w:val="1000"/>
        </w:numPr>
      </w:pPr>
      <w:r>
        <w:t xml:space="preserve">(d) any directive or memorandum governing the handling of disclosures received under 50 U.S.C. §3373b.</w:t>
      </w:r>
    </w:p>
    <w:p>
      <w:pPr>
        <w:pStyle w:val="Compact"/>
        <w:numPr>
          <w:ilvl w:val="0"/>
          <w:numId w:val="1001"/>
        </w:numPr>
      </w:pPr>
      <w:r>
        <w:t xml:space="preserve">[Historical:] All editions and changes of JANAP 146 (Communication Instructions for Reporting Vital</w:t>
      </w:r>
      <w:r>
        <w:t xml:space="preserve"> </w:t>
      </w:r>
      <w:r>
        <w:t xml:space="preserve">Intelligence Sightings), AFR 200-2, and AFR 80-17, and any successor instruction governing reports</w:t>
      </w:r>
      <w:r>
        <w:t xml:space="preserve"> </w:t>
      </w:r>
      <w:r>
        <w:t xml:space="preserve">of UAP.</w:t>
      </w:r>
    </w:p>
    <w:p>
      <w:pPr>
        <w:pStyle w:val="FirstParagraph"/>
      </w:pPr>
      <w:r>
        <w:rPr>
          <w:bCs/>
          <w:b/>
        </w:rPr>
        <w:t xml:space="preserve">Search.</w:t>
      </w:r>
      <w:r>
        <w:t xml:space="preserve"> </w:t>
      </w:r>
      <w:r>
        <w:t xml:space="preserve">Please search the record systems of [components], including email, classified networks,</w:t>
      </w:r>
      <w:r>
        <w:t xml:space="preserve"> </w:t>
      </w:r>
      <w:r>
        <w:t xml:space="preserve">SAP and controlled-access program repositories, and records retired to federal records centers, and</w:t>
      </w:r>
      <w:r>
        <w:t xml:space="preserve"> </w:t>
      </w:r>
      <w:r>
        <w:t xml:space="preserve">please use the terms in the Definitions paragraph, including the abbreviations UAP and UFO. Please</w:t>
      </w:r>
      <w:r>
        <w:t xml:space="preserve"> </w:t>
      </w:r>
      <w:r>
        <w:t xml:space="preserve">identify the record systems searched and the search terms used in your response.</w:t>
      </w:r>
      <w:r>
        <w:t xml:space="preserve"> </w:t>
      </w:r>
      <w:r>
        <w:rPr>
          <w:iCs/>
          <w:i/>
        </w:rPr>
        <w:t xml:space="preserve">See Slaughter</w:t>
      </w:r>
      <w:r>
        <w:t xml:space="preserve">, 2026</w:t>
      </w:r>
      <w:r>
        <w:t xml:space="preserve"> </w:t>
      </w:r>
      <w:r>
        <w:t xml:space="preserve">WL 571249, at *4.</w:t>
      </w:r>
    </w:p>
    <w:p>
      <w:pPr>
        <w:pStyle w:val="BodyText"/>
      </w:pPr>
      <w:r>
        <w:rPr>
          <w:bCs/>
          <w:b/>
        </w:rPr>
        <w:t xml:space="preserve">Official acknowledgment.</w:t>
      </w:r>
      <w:r>
        <w:t xml:space="preserve"> </w:t>
      </w:r>
      <w:r>
        <w:t xml:space="preserve">The following have been officially acknowledged and cannot properly be</w:t>
      </w:r>
      <w:r>
        <w:t xml:space="preserve"> </w:t>
      </w:r>
      <w:r>
        <w:t xml:space="preserve">the subject of a refusal to confirm or deny the existence of records: [list statutes, AARO reports,</w:t>
      </w:r>
      <w:r>
        <w:t xml:space="preserve"> </w:t>
      </w:r>
      <w:r>
        <w:t xml:space="preserve">sworn testimony of officials, PURSUE releases relevant to the agency].</w:t>
      </w:r>
      <w:r>
        <w:t xml:space="preserve"> </w:t>
      </w:r>
      <w:r>
        <w:rPr>
          <w:iCs/>
          <w:i/>
        </w:rPr>
        <w:t xml:space="preserve">See ACLU v. CIA</w:t>
      </w:r>
      <w:r>
        <w:t xml:space="preserve">, 710 F.3d</w:t>
      </w:r>
      <w:r>
        <w:t xml:space="preserve"> </w:t>
      </w:r>
      <w:r>
        <w:t xml:space="preserve">422 (D.C. Cir. 2013).</w:t>
      </w:r>
    </w:p>
    <w:p>
      <w:pPr>
        <w:pStyle w:val="BodyText"/>
      </w:pPr>
      <w:r>
        <w:rPr>
          <w:bCs/>
          <w:b/>
        </w:rPr>
        <w:t xml:space="preserve">Presidential communications privilege.</w:t>
      </w:r>
      <w:r>
        <w:t xml:space="preserve"> </w:t>
      </w:r>
      <w:r>
        <w:t xml:space="preserve">To the extent [agency] holds a directive that was</w:t>
      </w:r>
      <w:r>
        <w:t xml:space="preserve"> </w:t>
      </w:r>
      <w:r>
        <w:t xml:space="preserve">transmitted to it for implementation, the presidential communications privilege does not apply.</w:t>
      </w:r>
      <w:r>
        <w:t xml:space="preserve"> </w:t>
      </w:r>
      <w:r>
        <w:rPr>
          <w:iCs/>
          <w:i/>
        </w:rPr>
        <w:t xml:space="preserve">Center</w:t>
      </w:r>
      <w:r>
        <w:rPr>
          <w:iCs/>
          <w:i/>
        </w:rPr>
        <w:t xml:space="preserve"> </w:t>
      </w:r>
      <w:r>
        <w:rPr>
          <w:iCs/>
          <w:i/>
        </w:rPr>
        <w:t xml:space="preserve">for Effective Gov’t v. U.S. Dep’t of State</w:t>
      </w:r>
      <w:r>
        <w:t xml:space="preserve">, 7 F. Supp. 3d 16 (D.D.C. 2013).</w:t>
      </w:r>
    </w:p>
    <w:p>
      <w:pPr>
        <w:pStyle w:val="BodyText"/>
      </w:pPr>
      <w:r>
        <w:rPr>
          <w:bCs/>
          <w:b/>
        </w:rPr>
        <w:t xml:space="preserve">Segregability.</w:t>
      </w:r>
      <w:r>
        <w:t xml:space="preserve"> </w:t>
      </w:r>
      <w:r>
        <w:t xml:space="preserve">Please release all reasonably segregable non-exempt portions, including titles,</w:t>
      </w:r>
      <w:r>
        <w:t xml:space="preserve"> </w:t>
      </w:r>
      <w:r>
        <w:t xml:space="preserve">dates, and distribution lists, and identify the exemption claimed for each redaction.</w:t>
      </w:r>
    </w:p>
    <w:p>
      <w:pPr>
        <w:pStyle w:val="BodyText"/>
      </w:pPr>
      <w:r>
        <w:rPr>
          <w:bCs/>
          <w:b/>
        </w:rPr>
        <w:t xml:space="preserve">Fees.</w:t>
      </w:r>
      <w:r>
        <w:t xml:space="preserve"> </w:t>
      </w:r>
      <w:r>
        <w:t xml:space="preserve">I request [news media / educational / public interest] fee status and a fee waiver under 5</w:t>
      </w:r>
      <w:r>
        <w:t xml:space="preserve"> </w:t>
      </w:r>
      <w:r>
        <w:t xml:space="preserve">U.S.C. §552(a)(4)(A)(iii). Disclosure will contribute significantly to public understanding of the</w:t>
      </w:r>
      <w:r>
        <w:t xml:space="preserve"> </w:t>
      </w:r>
      <w:r>
        <w:t xml:space="preserve">operations of the government because [explain: publication on nhilaw.com or other outlet; analysis;</w:t>
      </w:r>
      <w:r>
        <w:t xml:space="preserve"> </w:t>
      </w:r>
      <w:r>
        <w:t xml:space="preserve">no commercial interest]. If fees are assessed, please notify me before incurring more than $[amount].</w:t>
      </w:r>
    </w:p>
    <w:p>
      <w:pPr>
        <w:pStyle w:val="BodyText"/>
      </w:pPr>
      <w:r>
        <w:rPr>
          <w:bCs/>
          <w:b/>
        </w:rPr>
        <w:t xml:space="preserve">Expedited processing.</w:t>
      </w:r>
      <w:r>
        <w:t xml:space="preserve"> </w:t>
      </w:r>
      <w:r>
        <w:t xml:space="preserve">[If applicable: I request expedited processing under 5 U.S.C. §552(a)(6)(E)</w:t>
      </w:r>
      <w:r>
        <w:t xml:space="preserve"> </w:t>
      </w:r>
      <w:r>
        <w:t xml:space="preserve">because there is an urgency to inform the public concerning actual or alleged federal government</w:t>
      </w:r>
      <w:r>
        <w:t xml:space="preserve"> </w:t>
      </w:r>
      <w:r>
        <w:t xml:space="preserve">activity, as shown by [current congressional action on the UAP Disclosure Act, the PURSUE program,</w:t>
      </w:r>
      <w:r>
        <w:t xml:space="preserve"> </w:t>
      </w:r>
      <w:r>
        <w:t xml:space="preserve">and related hearings], and I am primarily engaged in disseminating information. I certify that this</w:t>
      </w:r>
      <w:r>
        <w:t xml:space="preserve"> </w:t>
      </w:r>
      <w:r>
        <w:t xml:space="preserve">statement is true and correct to the best of my knowledge and belief.]</w:t>
      </w:r>
    </w:p>
    <w:p>
      <w:pPr>
        <w:pStyle w:val="BodyText"/>
      </w:pPr>
      <w:r>
        <w:t xml:space="preserve">Please send records electronically to [email]. Thank you.</w:t>
      </w:r>
    </w:p>
    <w:p>
      <w:pPr>
        <w:pStyle w:val="BodyText"/>
      </w:pPr>
      <w:r>
        <w:t xml:space="preserve">Sincerely,</w:t>
      </w:r>
      <w:r>
        <w:br/>
      </w:r>
      <w:r>
        <w:t xml:space="preserve">[Name]</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1" w:name="drafting-notes"/>
    <w:p>
      <w:pPr>
        <w:pStyle w:val="Heading2"/>
      </w:pPr>
      <w:r>
        <w:t xml:space="preserve">Drafting notes</w:t>
      </w:r>
    </w:p>
    <w:p>
      <w:pPr>
        <w:pStyle w:val="Compact"/>
        <w:numPr>
          <w:ilvl w:val="0"/>
          <w:numId w:val="1002"/>
        </w:numPr>
      </w:pPr>
      <w:r>
        <w:t xml:space="preserve">Requests for a specific directive should identify it as precisely as possible (series, number, date,</w:t>
      </w:r>
      <w:r>
        <w:t xml:space="preserve"> </w:t>
      </w:r>
      <w:r>
        <w:t xml:space="preserve">subject). FAS indexes of directives (irp.fas.org/offdocs) help.</w:t>
      </w:r>
    </w:p>
    <w:p>
      <w:pPr>
        <w:pStyle w:val="Compact"/>
        <w:numPr>
          <w:ilvl w:val="0"/>
          <w:numId w:val="1002"/>
        </w:numPr>
      </w:pPr>
      <w:r>
        <w:t xml:space="preserve">Do not send a single request to many agencies through one portal; each component searches only its</w:t>
      </w:r>
      <w:r>
        <w:t xml:space="preserve"> </w:t>
      </w:r>
      <w:r>
        <w:t xml:space="preserve">own records.</w:t>
      </w:r>
    </w:p>
    <w:p>
      <w:pPr>
        <w:pStyle w:val="Compact"/>
        <w:numPr>
          <w:ilvl w:val="0"/>
          <w:numId w:val="1002"/>
        </w:numPr>
      </w:pPr>
      <w:r>
        <w:t xml:space="preserve">MDR cannot be used for records that are the subject of pending litigation (EO 13526 §3.5(a)).</w:t>
      </w:r>
      <w:r>
        <w:t xml:space="preserve"> </w:t>
      </w:r>
      <w:r>
        <w:t xml:space="preserve">Requests must be specific enough to locate records with reasonable effort; agencies have one year to decide</w:t>
      </w:r>
      <w:r>
        <w:t xml:space="preserve"> </w:t>
      </w:r>
      <w:r>
        <w:t xml:space="preserve">(32 C.F.R. §2001.33(a)(2)). Decide early which route to use for each record.</w:t>
      </w:r>
    </w:p>
    <w:p>
      <w:pPr>
        <w:pStyle w:val="Compact"/>
        <w:numPr>
          <w:ilvl w:val="0"/>
          <w:numId w:val="1002"/>
        </w:numPr>
      </w:pPr>
      <w:r>
        <w:t xml:space="preserve">Keep copies of all correspondence; the administrative record matters in a later suit (Form B1</w:t>
      </w:r>
      <w:r>
        <w:t xml:space="preserve"> </w:t>
      </w:r>
      <w:r>
        <w:t xml:space="preserve">series).</w:t>
      </w:r>
    </w:p>
    <w:p>
      <w:pPr>
        <w:pStyle w:val="Compact"/>
        <w:numPr>
          <w:ilvl w:val="0"/>
          <w:numId w:val="1002"/>
        </w:numPr>
      </w:pPr>
      <w:r>
        <w:rPr>
          <w:bCs/>
          <w:b/>
        </w:rPr>
        <w:t xml:space="preserve">MDR-only version.</w:t>
      </w:r>
      <w:r>
        <w:t xml:space="preserve"> </w:t>
      </w:r>
      <w:r>
        <w:t xml:space="preserve">To use mandatory declassification review alone, address the agency’s MDR office, cite EO</w:t>
      </w:r>
      <w:r>
        <w:t xml:space="preserve"> </w:t>
      </w:r>
      <w:r>
        <w:t xml:space="preserve">13526 §3.5 and 32 C.F.R. §2001.33, describe each record specifically enough to locate it</w:t>
      </w:r>
      <w:r>
        <w:t xml:space="preserve"> </w:t>
      </w:r>
      <w:r>
        <w:t xml:space="preserve">“</w:t>
      </w:r>
      <w:r>
        <w:t xml:space="preserve">with a reasonable amount of</w:t>
      </w:r>
      <w:r>
        <w:t xml:space="preserve"> </w:t>
      </w:r>
      <w:r>
        <w:t xml:space="preserve">effort,</w:t>
      </w:r>
      <w:r>
        <w:t xml:space="preserve">”</w:t>
      </w:r>
      <w:r>
        <w:t xml:space="preserve"> </w:t>
      </w:r>
      <w:r>
        <w:t xml:space="preserve">omit the FOIA fee, search, and expedition paragraphs, and add:</w:t>
      </w:r>
      <w:r>
        <w:t xml:space="preserve"> </w:t>
      </w:r>
      <w:r>
        <w:t xml:space="preserve">“</w:t>
      </w:r>
      <w:r>
        <w:t xml:space="preserve">If any portion is denied, please identify</w:t>
      </w:r>
      <w:r>
        <w:t xml:space="preserve"> </w:t>
      </w:r>
      <w:r>
        <w:t xml:space="preserve">the appeal authority. I intend to appeal any denial to the Interagency Security Classification Appeals Panel.</w:t>
      </w:r>
      <w:r>
        <w:t xml:space="preserve">”</w:t>
      </w:r>
    </w:p>
    <w:p>
      <w:pPr>
        <w:pStyle w:val="Compact"/>
        <w:numPr>
          <w:ilvl w:val="0"/>
          <w:numId w:val="1002"/>
        </w:numPr>
      </w:pPr>
      <w:r>
        <w:rPr>
          <w:bCs/>
          <w:b/>
        </w:rPr>
        <w:t xml:space="preserve">On the AARO premise.</w:t>
      </w:r>
      <w:r>
        <w:t xml:space="preserve"> </w:t>
      </w:r>
      <w:r>
        <w:t xml:space="preserve">The site assumes AARO is part of the concealment. Send the request to AARO, but send the</w:t>
      </w:r>
      <w:r>
        <w:t xml:space="preserve"> </w:t>
      </w:r>
      <w:r>
        <w:t xml:space="preserve">same request to OSD, the Joint Staff, and each service so that a single office’s response does not define the</w:t>
      </w:r>
      <w:r>
        <w:t xml:space="preserve"> </w:t>
      </w:r>
      <w:r>
        <w:t xml:space="preserve">record.</w:t>
      </w:r>
    </w:p>
    <w:bookmarkEnd w:id="21"/>
    <w:bookmarkEnd w:id="22"/>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b1-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b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A2-1. FOIA and Mandatory Declassification Review Request for UAP-Related Directives, Legal Opinions, and Classification Guides</dc:title>
  <dc:creator>nhilaw.com</dc:creator>
  <cp:keywords/>
  <dcterms:created xsi:type="dcterms:W3CDTF">2026-10-19T03:11:47Z</dcterms:created>
  <dcterms:modified xsi:type="dcterms:W3CDTF">2026-10-19T03:11:47Z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