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f4a18976d88dc507fac1791a89a8a9fcd98144c"/>
    <w:p>
      <w:pPr>
        <w:pStyle w:val="Heading1"/>
      </w:pPr>
      <w:r>
        <w:t xml:space="preserve">Form A2-2. Notice of Public-Authority Defense (Fed. R. Crim. P. 12.3) and Motion for Discovery of Authorizing Instruments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https://nhilaw.com/forms/a2-2.html</w:t>
      </w:r>
    </w:p>
    <w:p>
      <w:pPr>
        <w:pStyle w:val="BodyText"/>
        <w:spacing w:after="160" w:line="259" w:lineRule="auto"/>
      </w:pPr>
      <w:r>
        <w:rPr>
          <w:bCs/>
          <w:b/>
        </w:rPr>
        <w:t xml:space="preserve">Use.</w:t>
      </w:r>
      <w:r>
        <w:t xml:space="preserve"> </w:t>
      </w:r>
      <w:r>
        <w:t xml:space="preserve">A former UAP program participant is charged with an offense (for example, unauthorized</w:t>
      </w:r>
      <w:r>
        <w:t xml:space="preserve"> </w:t>
      </w:r>
      <w:r>
        <w:t xml:space="preserve">retention or disclosure of national defense information, 18 U.S.C. §793; false statements, §1001;</w:t>
      </w:r>
      <w:r>
        <w:t xml:space="preserve"> </w:t>
      </w:r>
      <w:r>
        <w:t xml:space="preserve">conversion of government property, §641) and contends that the conduct was undertaken at the request</w:t>
      </w:r>
      <w:r>
        <w:t xml:space="preserve"> </w:t>
      </w:r>
      <w:r>
        <w:t xml:space="preserve">or with the authorization of a federal official or under a classified directive. Rule 12.3 requires</w:t>
      </w:r>
      <w:r>
        <w:t xml:space="preserve"> </w:t>
      </w:r>
      <w:r>
        <w:t xml:space="preserve">written notice; the notice triggers reciprocal disclosure obligations and, in CIPA cases, notice under</w:t>
      </w:r>
      <w:r>
        <w:t xml:space="preserve"> </w:t>
      </w:r>
      <w:r>
        <w:t xml:space="preserve">CIPA §5 if classified information will be disclosed.</w:t>
      </w:r>
    </w:p>
    <w:p>
      <w:pPr>
        <w:pStyle w:val="BodyText"/>
        <w:spacing w:after="160" w:line="259" w:lineRule="auto"/>
      </w:pPr>
      <w:r>
        <w:rPr>
          <w:bCs/>
          <w:b/>
        </w:rPr>
        <w:t xml:space="preserve">When to use.</w:t>
      </w:r>
      <w:r>
        <w:t xml:space="preserve"> </w:t>
      </w:r>
      <w:r>
        <w:t xml:space="preserve">A criminal defendant who will claim that a government official authorized the conduct charged.</w:t>
      </w:r>
      <w:r>
        <w:t xml:space="preserve"> </w:t>
      </w:r>
      <w:r>
        <w:rPr>
          <w:bCs/>
          <w:b/>
        </w:rPr>
        <w:t xml:space="preserve">Not for:</w:t>
      </w:r>
      <w:r>
        <w:t xml:space="preserve"> </w:t>
      </w:r>
      <w:r>
        <w:t xml:space="preserve">Civil cases, or a defense of mistaken belief in legality without an official’s authorization.</w:t>
      </w:r>
    </w:p>
    <w:p>
      <w:pPr>
        <w:pStyle w:val="BodyText"/>
        <w:spacing w:after="160" w:line="259" w:lineRule="auto"/>
      </w:pPr>
      <w:r>
        <w:rPr>
          <w:bCs/>
          <w:b/>
        </w:rPr>
        <w:t xml:space="preserve">Deadlines.</w:t>
      </w:r>
      <w:r>
        <w:t xml:space="preserve"> </w:t>
      </w:r>
      <w:r>
        <w:t xml:space="preserve">Rule 12.3 notice within the time for pretrial motions; the government responds within 14 days. CIPA §5 notice within the time the court sets, or 30 days before trial.</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 FOR THE [DISTRICT]</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UNITED STATES OF AMERICA</w:t>
            </w:r>
          </w:p>
          <w:p>
            <w:pPr>
              <w:spacing w:lineRule="exact" w:line="240" w:before="0" w:after="0"/>
            </w:pPr>
            <w:r>
              <w:rPr>
                <w:rFonts w:ascii="Times New Roman" w:hAnsi="Times New Roman" w:cs="Times New Roman" w:eastAsia="Times New Roman"/>
                <w:b w:val="0"/>
                <w:sz w:val="24"/>
              </w:rPr>
              <w:t>v.</w:t>
            </w:r>
          </w:p>
          <w:p>
            <w:pPr>
              <w:spacing w:lineRule="exact" w:line="240" w:before="0" w:after="0"/>
            </w:pPr>
            <w:r>
              <w:rPr>
                <w:rFonts w:ascii="Times New Roman" w:hAnsi="Times New Roman" w:cs="Times New Roman" w:eastAsia="Times New Roman"/>
                <w:b w:val="0"/>
                <w:sz w:val="24"/>
              </w:rPr>
              <w:t>[DEFENDANT]</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Criminal No. [__________]</w:t>
            </w:r>
          </w:p>
          <w:p>
            <w:pPr>
              <w:spacing w:lineRule="exact" w:line="240" w:before="0" w:after="0"/>
            </w:pPr>
          </w:p>
          <w:p>
            <w:pPr>
              <w:spacing w:lineRule="exact" w:line="240" w:before="0" w:after="0"/>
            </w:pPr>
            <w:r>
              <w:rPr>
                <w:rFonts w:ascii="Times New Roman" w:hAnsi="Times New Roman" w:cs="Times New Roman" w:eastAsia="Times New Roman"/>
                <w:b/>
                <w:sz w:val="24"/>
              </w:rPr>
              <w:t>DEFENDANT'S NOTICE OF</w:t>
            </w:r>
          </w:p>
          <w:p>
            <w:pPr>
              <w:spacing w:lineRule="exact" w:line="240" w:before="0" w:after="0"/>
            </w:pPr>
            <w:r>
              <w:rPr>
                <w:rFonts w:ascii="Times New Roman" w:hAnsi="Times New Roman" w:cs="Times New Roman" w:eastAsia="Times New Roman"/>
                <w:b/>
                <w:sz w:val="24"/>
              </w:rPr>
              <w:t>PUBLIC-AUTHORITY</w:t>
            </w:r>
          </w:p>
          <w:p>
            <w:pPr>
              <w:spacing w:lineRule="exact" w:line="240" w:before="0" w:after="0"/>
            </w:pPr>
            <w:r>
              <w:rPr>
                <w:rFonts w:ascii="Times New Roman" w:hAnsi="Times New Roman" w:cs="Times New Roman" w:eastAsia="Times New Roman"/>
                <w:b/>
                <w:sz w:val="24"/>
              </w:rPr>
              <w:t>DEFENSE PURSUANT TO</w:t>
            </w:r>
          </w:p>
          <w:p>
            <w:pPr>
              <w:spacing w:lineRule="exact" w:line="240" w:before="0" w:after="0"/>
            </w:pPr>
            <w:r>
              <w:rPr>
                <w:rFonts w:ascii="Times New Roman" w:hAnsi="Times New Roman" w:cs="Times New Roman" w:eastAsia="Times New Roman"/>
                <w:b/>
                <w:sz w:val="24"/>
              </w:rPr>
              <w:t>FED. R. CRIM. P. 12.3</w:t>
            </w: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spacing w:lineRule="exact" w:line="480" w:before="0" w:after="0"/>
        <w:ind w:firstLine="720"/>
      </w:pPr>
      <w:r>
        <w:t xml:space="preserve">Defendant [name], through counsel, gives notice under Federal Rule of Criminal Procedure 12.3(a) that</w:t>
      </w:r>
      <w:r>
        <w:t xml:space="preserve"> </w:t>
      </w:r>
      <w:r>
        <w:t xml:space="preserve">Defendant intends to assert a defense of actual or believed exercise of public authority on behalf of</w:t>
      </w:r>
      <w:r>
        <w:t xml:space="preserve"> </w:t>
      </w:r>
      <w:r>
        <w:t xml:space="preserve">[the Department of War / the Department of the Air Force / (agency)] at the time of the alleged</w:t>
      </w:r>
      <w:r>
        <w:t xml:space="preserve"> </w:t>
      </w:r>
      <w:r>
        <w:t xml:space="preserve">offense[s].</w:t>
      </w:r>
    </w:p>
    <w:p>
      <w:pPr>
        <w:pStyle w:val="Compact"/>
        <w:numPr>
          <w:ilvl w:val="0"/>
          <w:numId w:val="1001"/>
        </w:numPr>
        <w:spacing w:lineRule="exact" w:line="480" w:before="0" w:after="0"/>
      </w:pPr>
      <w:r>
        <w:rPr>
          <w:bCs/>
          <w:b/>
        </w:rPr>
        <w:t xml:space="preserve">Agency.</w:t>
      </w:r>
      <w:r>
        <w:t xml:space="preserve"> </w:t>
      </w:r>
      <w:r>
        <w:t xml:space="preserve">[Name of law enforcement or federal intelligence agency.]</w:t>
      </w:r>
    </w:p>
    <w:p>
      <w:pPr>
        <w:pStyle w:val="Compact"/>
        <w:numPr>
          <w:ilvl w:val="0"/>
          <w:numId w:val="1001"/>
        </w:numPr>
        <w:spacing w:lineRule="exact" w:line="480" w:before="0" w:after="0"/>
      </w:pPr>
      <w:r>
        <w:rPr>
          <w:bCs/>
          <w:b/>
        </w:rPr>
        <w:t xml:space="preserve">Agency member.</w:t>
      </w:r>
      <w:r>
        <w:t xml:space="preserve"> </w:t>
      </w:r>
      <w:r>
        <w:t xml:space="preserve">[Name of the official or officials on whose behalf Defendant claims to have</w:t>
      </w:r>
      <w:r>
        <w:t xml:space="preserve"> </w:t>
      </w:r>
      <w:r>
        <w:t xml:space="preserve">acted, or a description sufficient to identify them where names are classified, e.g.,</w:t>
      </w:r>
      <w:r>
        <w:t xml:space="preserve"> </w:t>
      </w:r>
      <w:r>
        <w:t xml:space="preserve">“</w:t>
      </w:r>
      <w:r>
        <w:t xml:space="preserve">the program</w:t>
      </w:r>
      <w:r>
        <w:t xml:space="preserve"> </w:t>
      </w:r>
      <w:r>
        <w:t xml:space="preserve">manager of the special access program identified in the classified addendum filed with the</w:t>
      </w:r>
      <w:r>
        <w:t xml:space="preserve"> </w:t>
      </w:r>
      <w:r>
        <w:t xml:space="preserve">Classified Information Security Officer.</w:t>
      </w:r>
      <w:r>
        <w:t xml:space="preserve">”</w:t>
      </w:r>
      <w:r>
        <w:t xml:space="preserve">]</w:t>
      </w:r>
    </w:p>
    <w:p>
      <w:pPr>
        <w:pStyle w:val="Compact"/>
        <w:numPr>
          <w:ilvl w:val="0"/>
          <w:numId w:val="1001"/>
        </w:numPr>
        <w:spacing w:lineRule="exact" w:line="480" w:before="0" w:after="0"/>
      </w:pPr>
      <w:r>
        <w:rPr>
          <w:bCs/>
          <w:b/>
        </w:rPr>
        <w:t xml:space="preserve">Time.</w:t>
      </w:r>
      <w:r>
        <w:t xml:space="preserve"> </w:t>
      </w:r>
      <w:r>
        <w:t xml:space="preserve">[Period during which Defendant claims to have acted with public authority.]</w:t>
      </w:r>
    </w:p>
    <w:p>
      <w:pPr>
        <w:pStyle w:val="FirstParagraph"/>
        <w:spacing w:lineRule="exact" w:line="480" w:before="0" w:after="0"/>
      </w:pPr>
      <w:r>
        <w:t xml:space="preserve">[If the identity of the agency, official, or program is classified, add:] Information responsive to</w:t>
      </w:r>
      <w:r>
        <w:t xml:space="preserve"> </w:t>
      </w:r>
      <w:r>
        <w:t xml:space="preserve">Rule 12.3(a)(2) that is or may be classified is set out in a classified addendum lodged with the</w:t>
      </w:r>
      <w:r>
        <w:t xml:space="preserve"> </w:t>
      </w:r>
      <w:r>
        <w:t xml:space="preserve">Classified Information Security Officer under the protective order entered in this case and served on</w:t>
      </w:r>
      <w:r>
        <w:t xml:space="preserve"> </w:t>
      </w:r>
      <w:r>
        <w:t xml:space="preserve">cleared government counsel. Defendant is also filing notice under section 5 of the Classified</w:t>
      </w:r>
      <w:r>
        <w:t xml:space="preserve"> </w:t>
      </w:r>
      <w:r>
        <w:t xml:space="preserve">Information Procedures Act.</w:t>
      </w:r>
    </w:p>
    <w:p>
      <w:pPr>
        <w:pStyle w:val="BodyText"/>
        <w:spacing w:lineRule="exact" w:line="480" w:before="0" w:after="0"/>
      </w:pPr>
      <w:r>
        <w:t xml:space="preserve">Dated: [__________] [signature block]</w:t>
      </w:r>
    </w:p>
    <w:p>
      <w:pPr>
        <w:pStyle w:val="BodyText"/>
        <w:spacing w:lineRule="exact" w:line="480" w:before="0" w:after="0"/>
      </w:pPr>
      <w:r>
        <w:br w:type="page"/>
      </w:r>
    </w:p>
    <w:p>
      <w:pPr>
        <w:pStyle w:val="BodyText"/>
        <w:keepNext/>
        <w:spacing w:lineRule="exact" w:line="480" w:before="0" w:after="0"/>
        <w:jc w:val="center"/>
      </w:pPr>
      <w:r>
        <w:rPr>
          <w:bCs/>
          <w:b/>
        </w:rPr>
        <w:t xml:space="preserve">DEFENDANT’S MOTION TO COMPEL DISCOVERY OF DOCUMENTS BEARING ON THE PUBLIC-AUTHORITY DEFENSE</w:t>
      </w:r>
    </w:p>
    <w:p>
      <w:pPr>
        <w:pStyle w:val="BodyText"/>
        <w:spacing w:lineRule="exact" w:line="480" w:before="0" w:after="0"/>
        <w:ind w:firstLine="720"/>
      </w:pPr>
      <w:r>
        <w:t xml:space="preserve">Defendant moves for an order under Federal Rule of Criminal Procedure 16(a)(1)(E) and</w:t>
      </w:r>
      <w:r>
        <w:t xml:space="preserve"> </w:t>
      </w:r>
      <w:r>
        <w:rPr>
          <w:iCs/>
          <w:i/>
        </w:rPr>
        <w:t xml:space="preserve">Brady v.</w:t>
      </w:r>
      <w:r>
        <w:rPr>
          <w:iCs/>
          <w:i/>
        </w:rPr>
        <w:t xml:space="preserve"> </w:t>
      </w:r>
      <w:r>
        <w:rPr>
          <w:iCs/>
          <w:i/>
        </w:rPr>
        <w:t xml:space="preserve">Maryland</w:t>
      </w:r>
      <w:r>
        <w:t xml:space="preserve">, 373 U.S. 83 (1963), compelling the government to produce, subject to CIPA §4 where</w:t>
      </w:r>
      <w:r>
        <w:t xml:space="preserve"> </w:t>
      </w:r>
      <w:r>
        <w:t xml:space="preserve">classified, all documents in the possession, custody, or control of the prosecution team, or of the</w:t>
      </w:r>
      <w:r>
        <w:t xml:space="preserve"> </w:t>
      </w:r>
      <w:r>
        <w:t xml:space="preserve">agencies whose files the prosecution has reviewed or should review, that bear on whether Defendant’s</w:t>
      </w:r>
      <w:r>
        <w:t xml:space="preserve"> </w:t>
      </w:r>
      <w:r>
        <w:t xml:space="preserve">conduct was requested, authorized, or known by federal officials, including:</w:t>
      </w:r>
    </w:p>
    <w:p>
      <w:pPr>
        <w:pStyle w:val="BodyText"/>
        <w:spacing w:lineRule="exact" w:line="480" w:before="0" w:after="0"/>
        <w:ind w:firstLine="720"/>
      </w:pPr>
      <w:r>
        <w:t xml:space="preserve">a. any directive, finding, memorandum of notification, program authorization, or indoctrination</w:t>
      </w:r>
      <w:r>
        <w:t xml:space="preserve"> </w:t>
      </w:r>
      <w:r>
        <w:t xml:space="preserve">agreement under which Defendant performed duties;</w:t>
      </w:r>
      <w:r>
        <w:br/>
      </w:r>
      <w:r>
        <w:t xml:space="preserve">b. communications between Defendant and the official(s) identified in the notice;</w:t>
      </w:r>
      <w:r>
        <w:t xml:space="preserve"> </w:t>
      </w:r>
      <w:r>
        <w:t xml:space="preserve">c. records showing the scope of authority of those officials;</w:t>
      </w:r>
      <w:r>
        <w:br/>
      </w:r>
      <w:r>
        <w:t xml:space="preserve">d. records of any review of Defendant’s conduct by the agency’s security office, general counsel, or</w:t>
      </w:r>
      <w:r>
        <w:t xml:space="preserve"> </w:t>
      </w:r>
      <w:r>
        <w:t xml:space="preserve">inspector general.</w:t>
      </w:r>
    </w:p>
    <w:p>
      <w:pPr>
        <w:pStyle w:val="BodyText"/>
        <w:spacing w:lineRule="exact" w:line="480" w:before="0" w:after="0"/>
        <w:ind w:firstLine="720"/>
      </w:pPr>
      <w:r>
        <w:t xml:space="preserve">In</w:t>
      </w:r>
      <w:r>
        <w:t xml:space="preserve"> </w:t>
      </w:r>
      <w:r>
        <w:rPr>
          <w:iCs/>
          <w:i/>
        </w:rPr>
        <w:t xml:space="preserve">United States v. Giffen</w:t>
      </w:r>
      <w:r>
        <w:t xml:space="preserve">, 379 F. Supp. 2d 337 (S.D.N.Y. 2004), the court held that documents</w:t>
      </w:r>
      <w:r>
        <w:t xml:space="preserve"> </w:t>
      </w:r>
      <w:r>
        <w:t xml:space="preserve">pertaining to a possible public-authority defense were discoverable, including classified documents</w:t>
      </w:r>
      <w:r>
        <w:t xml:space="preserve"> </w:t>
      </w:r>
      <w:r>
        <w:t xml:space="preserve">reviewed under CIPA, though the obligation did not extend to documents unknown to the prosecution. The</w:t>
      </w:r>
      <w:r>
        <w:t xml:space="preserve"> </w:t>
      </w:r>
      <w:r>
        <w:t xml:space="preserve">same rule applies here. Whether an official had actual authority to sanction the conduct is a factual</w:t>
      </w:r>
      <w:r>
        <w:t xml:space="preserve"> </w:t>
      </w:r>
      <w:r>
        <w:t xml:space="preserve">question that Defendant must be permitted to litigate.</w:t>
      </w:r>
      <w:r>
        <w:t xml:space="preserve"> </w:t>
      </w:r>
      <w:r>
        <w:rPr>
          <w:iCs/>
          <w:i/>
        </w:rPr>
        <w:t xml:space="preserve">See United States v. Fulcher</w:t>
      </w:r>
      <w:r>
        <w:t xml:space="preserve">, 250 F.3d 244 (4th</w:t>
      </w:r>
      <w:r>
        <w:t xml:space="preserve"> </w:t>
      </w:r>
      <w:r>
        <w:t xml:space="preserve">Cir. 2001) (affirming new trial where evidence of an agent’s possible authorization emerged after</w:t>
      </w:r>
      <w:r>
        <w:t xml:space="preserve"> </w:t>
      </w:r>
      <w:r>
        <w:t xml:space="preserve">trial and actual authority had not been litigated).</w:t>
      </w:r>
    </w:p>
    <w:p>
      <w:pPr>
        <w:pStyle w:val="BodyText"/>
        <w:spacing w:lineRule="exact" w:line="480" w:before="0" w:after="0"/>
      </w:pPr>
      <w:r>
        <w:t xml:space="preserve">[Add: argument specific to the prosecution team’s access to the relevant agency files; request that the</w:t>
      </w:r>
      <w:r>
        <w:t xml:space="preserve"> </w:t>
      </w:r>
      <w:r>
        <w:t xml:space="preserve">government confirm the search of named agency components; request for a CIPA §2 pretrial conference.]</w:t>
      </w:r>
    </w:p>
    <w:p>
      <w:pPr>
        <w:pStyle w:val="BodyText"/>
        <w:spacing w:lineRule="exact" w:line="480" w:before="0" w:after="0"/>
      </w:pPr>
      <w:r>
        <w:t xml:space="preserve">Dated: [__________] [signature block]</w:t>
      </w:r>
    </w:p>
    <w:p>
      <w:pPr>
        <w:pStyle w:val="BodyText"/>
        <w:spacing w:lineRule="exact" w:line="480" w:before="0" w:after="0"/>
      </w:pPr>
      <w:r>
        <w:br w:type="page"/>
      </w:r>
    </w:p>
    <w:p>
      <w:pPr>
        <w:pStyle w:val="BodyText"/>
        <w:keepNext/>
        <w:spacing w:lineRule="exact" w:line="480" w:before="0" w:after="0"/>
        <w:jc w:val="center"/>
      </w:pPr>
      <w:r>
        <w:rPr>
          <w:bCs/>
          <w:b/>
        </w:rPr>
        <w:t xml:space="preserve">DEFENDANT’S NOTICE UNDER SECTION 5 OF THE CLASSIFIED INFORMATION PROCEDURES ACT</w:t>
      </w:r>
    </w:p>
    <w:p>
      <w:pPr>
        <w:pStyle w:val="BodyText"/>
        <w:spacing w:lineRule="exact" w:line="480" w:before="0" w:after="0"/>
        <w:ind w:firstLine="720"/>
      </w:pPr>
      <w:r>
        <w:t xml:space="preserve">Defendant [name], through counsel, notifies the United States under section 5(a) of the Classified Information</w:t>
      </w:r>
      <w:r>
        <w:t xml:space="preserve"> </w:t>
      </w:r>
      <w:r>
        <w:t xml:space="preserve">Procedures Act, 18 U.S.C. App. 3, that Defendant reasonably expects to disclose, or to cause the disclosure of,</w:t>
      </w:r>
      <w:r>
        <w:t xml:space="preserve"> </w:t>
      </w:r>
      <w:r>
        <w:t xml:space="preserve">classified information in connection with the trial and pretrial proceedings in this case. A brief description of</w:t>
      </w:r>
      <w:r>
        <w:t xml:space="preserve"> </w:t>
      </w:r>
      <w:r>
        <w:t xml:space="preserve">the information, which is itself classified, is set out in a classified addendum lodged with the Classified</w:t>
      </w:r>
      <w:r>
        <w:t xml:space="preserve"> </w:t>
      </w:r>
      <w:r>
        <w:t xml:space="preserve">Information Security Officer and served on cleared government counsel. Defendant requests a hearing under section</w:t>
      </w:r>
      <w:r>
        <w:t xml:space="preserve"> </w:t>
      </w:r>
      <w:r>
        <w:t xml:space="preserve">6(a) on the use, relevance, and admissibility of the information.</w:t>
      </w:r>
    </w:p>
    <w:p>
      <w:pPr>
        <w:pStyle w:val="BodyText"/>
        <w:spacing w:lineRule="exact" w:line="480" w:before="0" w:after="0"/>
      </w:pPr>
      <w:r>
        <w:t xml:space="preserve">Dated: [__________] [signature block]</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3" w:name="drafting-notes"/>
    <w:p>
      <w:pPr>
        <w:pStyle w:val="Heading2"/>
      </w:pPr>
      <w:r>
        <w:t xml:space="preserve">Drafting notes</w:t>
      </w:r>
    </w:p>
    <w:p>
      <w:pPr>
        <w:pStyle w:val="Compact"/>
        <w:numPr>
          <w:ilvl w:val="0"/>
          <w:numId w:val="1002"/>
        </w:numPr>
      </w:pPr>
      <w:r>
        <w:t xml:space="preserve">Most circuits require actual authority; an honest but mistaken belief may still negate mens rea for</w:t>
      </w:r>
      <w:r>
        <w:t xml:space="preserve"> </w:t>
      </w:r>
      <w:r>
        <w:t xml:space="preserve">specific-intent offenses. Research the circuit’s rule before asserting the defense.</w:t>
      </w:r>
    </w:p>
    <w:p>
      <w:pPr>
        <w:pStyle w:val="Compact"/>
        <w:numPr>
          <w:ilvl w:val="0"/>
          <w:numId w:val="1002"/>
        </w:numPr>
      </w:pPr>
      <w:r>
        <w:t xml:space="preserve">A directive that could not lawfully authorize the conduct (see</w:t>
      </w:r>
      <w:r>
        <w:t xml:space="preserve"> </w:t>
      </w:r>
      <w:hyperlink r:id="rId20">
        <w:r>
          <w:rPr>
            <w:rStyle w:val="Hyperlink"/>
          </w:rPr>
          <w:t xml:space="preserve">Issue A2</w:t>
        </w:r>
      </w:hyperlink>
      <w:r>
        <w:t xml:space="preserve"> </w:t>
      </w:r>
      <w:r>
        <w:t xml:space="preserve">§3) weakens the actual</w:t>
      </w:r>
      <w:r>
        <w:t xml:space="preserve"> </w:t>
      </w:r>
      <w:r>
        <w:t xml:space="preserve">authority theory but may support mens rea arguments.</w:t>
      </w:r>
    </w:p>
    <w:p>
      <w:pPr>
        <w:pStyle w:val="Compact"/>
        <w:numPr>
          <w:ilvl w:val="0"/>
          <w:numId w:val="1002"/>
        </w:numPr>
      </w:pPr>
      <w:r>
        <w:rPr>
          <w:bCs/>
          <w:b/>
        </w:rPr>
        <w:t xml:space="preserve">CIPA §5 timing.</w:t>
      </w:r>
      <w:r>
        <w:t xml:space="preserve"> </w:t>
      </w:r>
      <w:r>
        <w:t xml:space="preserve">The notice is due within the time the court sets, or 30 days before trial; failure to give it can</w:t>
      </w:r>
      <w:r>
        <w:t xml:space="preserve"> </w:t>
      </w:r>
      <w:r>
        <w:t xml:space="preserve">lead the court to preclude the evidence (CIPA §5(b)). Describe the information generally and specifically enough in</w:t>
      </w:r>
      <w:r>
        <w:t xml:space="preserve"> </w:t>
      </w:r>
      <w:r>
        <w:t xml:space="preserve">the classified addendum to allow the §6 hearing.</w:t>
      </w:r>
    </w:p>
    <w:p>
      <w:pPr>
        <w:pStyle w:val="Compact"/>
        <w:numPr>
          <w:ilvl w:val="0"/>
          <w:numId w:val="1002"/>
        </w:numPr>
      </w:pPr>
      <w:r>
        <w:t xml:space="preserve">Coordinate with any immunity negotiations (</w:t>
      </w:r>
      <w:hyperlink r:id="rId21">
        <w:r>
          <w:rPr>
            <w:rStyle w:val="Hyperlink"/>
          </w:rPr>
          <w:t xml:space="preserve">Issue B3</w:t>
        </w:r>
      </w:hyperlink>
      <w:r>
        <w:t xml:space="preserve">) and with the client’s statutory disclosure</w:t>
      </w:r>
      <w:r>
        <w:t xml:space="preserve"> </w:t>
      </w:r>
      <w:r>
        <w:t xml:space="preserve">protections (50 U.S.C. §3373b; PURSUE waiver;</w:t>
      </w:r>
      <w:r>
        <w:t xml:space="preserve"> </w:t>
      </w:r>
      <w:hyperlink r:id="rId22">
        <w:r>
          <w:rPr>
            <w:rStyle w:val="Hyperlink"/>
          </w:rPr>
          <w:t xml:space="preserve">Issue C1</w:t>
        </w:r>
      </w:hyperlink>
      <w:r>
        <w:t xml:space="preserve"> </w:t>
      </w:r>
      <w:r>
        <w:t xml:space="preserve">and C2).</w:t>
      </w:r>
    </w:p>
    <w:bookmarkEnd w:id="23"/>
    <w:bookmarkEnd w:id="24"/>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DEFENDANT'S NOTICE OF PUBLIC-AUTHORITY DEFENSE PURSUANT TO FED. R. CRIM. P. 12.3</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a2.html" TargetMode="External"/><Relationship Id="rId21" Type="http://schemas.openxmlformats.org/officeDocument/2006/relationships/hyperlink" Target="https://nhilaw.com/issues/b3.html" TargetMode="External"/><Relationship Id="rId22" Type="http://schemas.openxmlformats.org/officeDocument/2006/relationships/hyperlink" Target="https://nhilaw.com/issues/c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a2.html" TargetMode="External"/><Relationship Id="rId21" Type="http://schemas.openxmlformats.org/officeDocument/2006/relationships/hyperlink" Target="https://nhilaw.com/issues/b3.html" TargetMode="External"/><Relationship Id="rId22" Type="http://schemas.openxmlformats.org/officeDocument/2006/relationships/hyperlink" Target="https://nhilaw.com/issues/c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A2-2. Notice of Public-Authority Defense (Fed. R. Crim. P. 12.3) and Motion for Discovery of Authorizing Instruments</dc:title>
  <dc:creator>nhilaw.com</dc:creator>
  <cp:keywords/>
  <dcterms:created xsi:type="dcterms:W3CDTF">2026-10-19T03:11:49Z</dcterms:created>
  <dcterms:modified xsi:type="dcterms:W3CDTF">2026-10-19T03:11:49Z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