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Secret Executive Law and UAP Programs: Force, Limits, and Access</w:t>
      </w:r>
    </w:p>
    <w:p>
      <w:pPr>
        <w:pStyle w:val="Subtitle"/>
      </w:pPr>
      <w:r>
        <w:t xml:space="preserve">Version 1.10 · October 2026 · nhilaw.com/issues/a2.html</w:t>
      </w:r>
    </w:p>
    <w:p>
      <w:pPr>
        <w:pStyle w:val="FirstParagraph"/>
      </w:pPr>
      <w:r>
        <w:rPr>
          <w:iCs/>
          <w:i/>
        </w:rPr>
        <w:t xml:space="preserve">Version 1.10, October 2026. Legal information, not legal advice. Published by the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Emergent Frontiers Institute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(NHI Law is not a law firm). Citations checked in October 2026; check every citation before relying on it.</w:t>
      </w:r>
    </w:p>
    <w:p>
      <w:pPr>
        <w:pStyle w:val="BodyText"/>
      </w:pPr>
      <w:r>
        <w:rPr>
          <w:bCs/>
          <w:b/>
        </w:rPr>
        <w:t xml:space="preserve">Working premise.</w:t>
      </w:r>
      <w:r>
        <w:t xml:space="preserve"> </w:t>
      </w:r>
      <w:r>
        <w:t xml:space="preserve">Insider accounts describe UAP retrieval and exploitation programs as resting on</w:t>
      </w:r>
      <w:r>
        <w:t xml:space="preserve"> </w:t>
      </w:r>
      <w:r>
        <w:t xml:space="preserve">classified presidential directives, covert action findings, or departmental instruments that</w:t>
      </w:r>
      <w:r>
        <w:t xml:space="preserve"> </w:t>
      </w:r>
      <w:r>
        <w:t xml:space="preserve">authorize conduct otherwise forbidden by statute (for example, spending appropriated funds without</w:t>
      </w:r>
      <w:r>
        <w:t xml:space="preserve"> </w:t>
      </w:r>
      <w:r>
        <w:t xml:space="preserve">notice to Congress, withholding information from oversight committees, or using force against craft).</w:t>
      </w:r>
      <w:r>
        <w:t xml:space="preserve"> </w:t>
      </w:r>
      <w:r>
        <w:t xml:space="preserve">This analysis assumes such instruments may exist and asks what legal force they have, what they cannot</w:t>
      </w:r>
      <w:r>
        <w:t xml:space="preserve"> </w:t>
      </w:r>
      <w:r>
        <w:t xml:space="preserve">accomplish, how practitioners can obtain or test them, and how they bear on the liability of people who</w:t>
      </w:r>
      <w:r>
        <w:t xml:space="preserve"> </w:t>
      </w:r>
      <w:r>
        <w:t xml:space="preserve">acted under them.</w:t>
      </w:r>
    </w:p>
    <w:p>
      <w:r>
        <w:pict>
          <v:rect style="width:0;height:1.5pt" o:hralign="center" o:hrstd="t" o:hr="t"/>
        </w:pict>
      </w:r>
    </w:p>
    <w:bookmarkStart w:id="21" w:name="key-points"/>
    <w:p>
      <w:pPr>
        <w:pStyle w:val="Heading2"/>
      </w:pPr>
      <w:r>
        <w:t xml:space="preserve">Key points</w:t>
      </w:r>
    </w:p>
    <w:p>
      <w:pPr>
        <w:pStyle w:val="Compact"/>
        <w:numPr>
          <w:ilvl w:val="0"/>
          <w:numId w:val="1001"/>
        </w:numPr>
      </w:pPr>
      <w:r>
        <w:t xml:space="preserve">A presidential directive has the force of an executive order whatever its form, and it lasts until revoked (24 Op. O.L.C. 29 (2000)).</w:t>
      </w:r>
    </w:p>
    <w:p>
      <w:pPr>
        <w:pStyle w:val="Compact"/>
        <w:numPr>
          <w:ilvl w:val="0"/>
          <w:numId w:val="1001"/>
        </w:numPr>
      </w:pPr>
      <w:r>
        <w:t xml:space="preserve">Secrecy adds nothing to presidential power. A directive cannot authorize what a statute forbids except where the President’s power is exclusive (</w:t>
      </w:r>
      <w:r>
        <w:rPr>
          <w:iCs/>
          <w:i/>
        </w:rPr>
        <w:t xml:space="preserve">Youngstown</w:t>
      </w:r>
      <w:r>
        <w:t xml:space="preserve">), and a covert action finding may not authorize any statutory violation (50 U.S.C. §3093(a)(5)).</w:t>
      </w:r>
    </w:p>
    <w:p>
      <w:pPr>
        <w:pStyle w:val="Compact"/>
        <w:numPr>
          <w:ilvl w:val="0"/>
          <w:numId w:val="1001"/>
        </w:numPr>
      </w:pPr>
      <w:r>
        <w:t xml:space="preserve">Intelligence-funded activity must be specifically authorized by Congress (50 U.S.C. §3094(a)); for FY2024, UAP programs not reported to Congress could not be funded at all (FY2024 NDAA §1687; IAA §7343).</w:t>
      </w:r>
    </w:p>
    <w:p>
      <w:pPr>
        <w:pStyle w:val="Compact"/>
        <w:numPr>
          <w:ilvl w:val="0"/>
          <w:numId w:val="1001"/>
        </w:numPr>
      </w:pPr>
      <w:r>
        <w:t xml:space="preserve">People who acted under a directive get a public-authority defense only if the authorizing official had actual authority; reliance on apparent authority survives mainly as a mens rea argument.</w:t>
      </w:r>
    </w:p>
    <w:p>
      <w:pPr>
        <w:pStyle w:val="Compact"/>
        <w:numPr>
          <w:ilvl w:val="0"/>
          <w:numId w:val="1001"/>
        </w:numPr>
      </w:pPr>
      <w:r>
        <w:t xml:space="preserve">Directives can be obtained from the agencies that received them (FOIA does not reach the NSC), through MDR, and in criminal discovery (</w:t>
      </w:r>
      <w:r>
        <w:rPr>
          <w:iCs/>
          <w:i/>
        </w:rPr>
        <w:t xml:space="preserve">Giffen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For a client who acted under a directive, get the text through cleared counsel before any testimony.</w:t>
      </w:r>
    </w:p>
    <w:p>
      <w:r>
        <w:pict>
          <v:rect style="width:0;height:1.5pt" o:hralign="center" o:hrstd="t" o:hr="t"/>
        </w:pict>
      </w:r>
    </w:p>
    <w:bookmarkEnd w:id="21"/>
    <w:bookmarkStart w:id="22" w:name="summary"/>
    <w:p>
      <w:pPr>
        <w:pStyle w:val="Heading2"/>
      </w:pPr>
      <w:r>
        <w:t xml:space="preserve">1. Summary</w:t>
      </w:r>
    </w:p>
    <w:p>
      <w:pPr>
        <w:pStyle w:val="FirstParagraph"/>
      </w:pPr>
      <w:r>
        <w:t xml:space="preserve">A presidential directive has the same legal effect as an executive order whatever its form and</w:t>
      </w:r>
      <w:r>
        <w:t xml:space="preserve"> </w:t>
      </w:r>
      <w:r>
        <w:t xml:space="preserve">whether or not it is published, and it survives a change of administration until revoked. A secret</w:t>
      </w:r>
      <w:r>
        <w:t xml:space="preserve"> </w:t>
      </w:r>
      <w:r>
        <w:t xml:space="preserve">directive cannot, however, authorize what a statute forbids, except in the narrow zone where the</w:t>
      </w:r>
      <w:r>
        <w:t xml:space="preserve"> </w:t>
      </w:r>
      <w:r>
        <w:t xml:space="preserve">President’s power is exclusive. For covert action, Congress has written that limit into the statute:</w:t>
      </w:r>
      <w:r>
        <w:t xml:space="preserve"> </w:t>
      </w:r>
      <w:r>
        <w:t xml:space="preserve">a finding</w:t>
      </w:r>
      <w:r>
        <w:t xml:space="preserve"> </w:t>
      </w:r>
      <w:r>
        <w:t xml:space="preserve">“</w:t>
      </w:r>
      <w:r>
        <w:t xml:space="preserve">may not authorize any action that would violate the Constitution or any statute of the</w:t>
      </w:r>
      <w:r>
        <w:t xml:space="preserve"> </w:t>
      </w:r>
      <w:r>
        <w:t xml:space="preserve">United States.</w:t>
      </w:r>
      <w:r>
        <w:t xml:space="preserve">”</w:t>
      </w:r>
      <w:r>
        <w:t xml:space="preserve"> </w:t>
      </w:r>
      <w:r>
        <w:t xml:space="preserve">50 U.S.C. §3093(a)(5).</w:t>
      </w:r>
    </w:p>
    <w:p>
      <w:pPr>
        <w:pStyle w:val="BodyText"/>
      </w:pPr>
      <w:r>
        <w:t xml:space="preserve">The consequences for UAP matters are concrete. Since the FY2024 National Defense Authorization Act,</w:t>
      </w:r>
      <w:r>
        <w:t xml:space="preserve"> </w:t>
      </w:r>
      <w:r>
        <w:t xml:space="preserve">Congress has addressed UAP programs by statute: it has required reporting, required transfer of</w:t>
      </w:r>
      <w:r>
        <w:t xml:space="preserve"> </w:t>
      </w:r>
      <w:r>
        <w:t xml:space="preserve">records to the National Archives, and (for FY2024) barred spending on UAP-related activities not</w:t>
      </w:r>
      <w:r>
        <w:t xml:space="preserve"> </w:t>
      </w:r>
      <w:r>
        <w:t xml:space="preserve">disclosed to Congress. A classified directive purporting to authorize concealment from Congress or</w:t>
      </w:r>
      <w:r>
        <w:t xml:space="preserve"> </w:t>
      </w:r>
      <w:r>
        <w:t xml:space="preserve">spending in the face of a statutory funding bar would sit in the lowest category of presidential</w:t>
      </w:r>
      <w:r>
        <w:t xml:space="preserve"> </w:t>
      </w:r>
      <w:r>
        <w:t xml:space="preserve">power under</w:t>
      </w:r>
      <w:r>
        <w:t xml:space="preserve"> </w:t>
      </w:r>
      <w:r>
        <w:rPr>
          <w:iCs/>
          <w:i/>
        </w:rPr>
        <w:t xml:space="preserve">Youngstown</w:t>
      </w:r>
      <w:r>
        <w:t xml:space="preserve"> </w:t>
      </w:r>
      <w:r>
        <w:t xml:space="preserve">and would offer little protection to those who relied on it. The law instead</w:t>
      </w:r>
      <w:r>
        <w:t xml:space="preserve"> </w:t>
      </w:r>
      <w:r>
        <w:t xml:space="preserve">gives individuals limited protection through the public-authority defense, which requires actual</w:t>
      </w:r>
      <w:r>
        <w:t xml:space="preserve"> </w:t>
      </w:r>
      <w:r>
        <w:t xml:space="preserve">authority from an official empowered to grant it.</w:t>
      </w:r>
    </w:p>
    <w:p>
      <w:pPr>
        <w:pStyle w:val="BodyText"/>
      </w:pPr>
      <w:r>
        <w:t xml:space="preserve">Access to directives is difficult but not impossible. Agencies can be compelled under FOIA to produce</w:t>
      </w:r>
      <w:r>
        <w:t xml:space="preserve"> </w:t>
      </w:r>
      <w:r>
        <w:t xml:space="preserve">directives distributed to them for implementation; the presidential communications privilege does not</w:t>
      </w:r>
      <w:r>
        <w:t xml:space="preserve"> </w:t>
      </w:r>
      <w:r>
        <w:t xml:space="preserve">reach such directives (</w:t>
      </w:r>
      <w:r>
        <w:rPr>
          <w:iCs/>
          <w:i/>
        </w:rPr>
        <w:t xml:space="preserve">Center for Effective Government v. Department of State</w:t>
      </w:r>
      <w:r>
        <w:t xml:space="preserve">, D.D.C. 2013).</w:t>
      </w:r>
      <w:r>
        <w:t xml:space="preserve"> </w:t>
      </w:r>
      <w:r>
        <w:t xml:space="preserve">Agencies will argue that directives whose dissemination the White House tightly controls are not agency</w:t>
      </w:r>
      <w:r>
        <w:t xml:space="preserve"> </w:t>
      </w:r>
      <w:r>
        <w:t xml:space="preserve">records. One district court accepted that argument (</w:t>
      </w:r>
      <w:r>
        <w:rPr>
          <w:iCs/>
          <w:i/>
        </w:rPr>
        <w:t xml:space="preserve">EPIC v. NSA</w:t>
      </w:r>
      <w:r>
        <w:t xml:space="preserve">, 988 F. Supp. 2d 1 (D.D.C. 2013)), but</w:t>
      </w:r>
      <w:r>
        <w:t xml:space="preserve"> </w:t>
      </w:r>
      <w:r>
        <w:t xml:space="preserve">the D.C. Circuit vacated the holding in 2014 after the NSA released the directive (No. 13-5369, July 31,</w:t>
      </w:r>
      <w:r>
        <w:t xml:space="preserve"> </w:t>
      </w:r>
      <w:r>
        <w:t xml:space="preserve">2014), so the opinion is not precedent. The National Security Council is not an agency under FOIA</w:t>
      </w:r>
      <w:r>
        <w:t xml:space="preserve"> </w:t>
      </w:r>
      <w:r>
        <w:t xml:space="preserve">(</w:t>
      </w:r>
      <w:r>
        <w:rPr>
          <w:iCs/>
          <w:i/>
        </w:rPr>
        <w:t xml:space="preserve">Main Street Legal Services v. NSC</w:t>
      </w:r>
      <w:r>
        <w:t xml:space="preserve">, 2d Cir. 2016). OLC opinions must be requested individually</w:t>
      </w:r>
      <w:r>
        <w:t xml:space="preserve"> </w:t>
      </w:r>
      <w:r>
        <w:t xml:space="preserve">(</w:t>
      </w:r>
      <w:r>
        <w:rPr>
          <w:iCs/>
          <w:i/>
        </w:rPr>
        <w:t xml:space="preserve">Campaign for Accountability v. DOJ</w:t>
      </w:r>
      <w:r>
        <w:t xml:space="preserve">, D.C. Cir. 2025). Mandatory declassification review, criminal</w:t>
      </w:r>
      <w:r>
        <w:t xml:space="preserve"> </w:t>
      </w:r>
      <w:r>
        <w:t xml:space="preserve">discovery in support of a public-authority defense (</w:t>
      </w:r>
      <w:r>
        <w:rPr>
          <w:iCs/>
          <w:i/>
        </w:rPr>
        <w:t xml:space="preserve">United States v. Giffen</w:t>
      </w:r>
      <w:r>
        <w:t xml:space="preserve">, S.D.N.Y. 2004), and</w:t>
      </w:r>
      <w:r>
        <w:t xml:space="preserve"> </w:t>
      </w:r>
      <w:r>
        <w:t xml:space="preserve">congressional oversight are the other routes.</w:t>
      </w:r>
    </w:p>
    <w:p>
      <w:r>
        <w:pict>
          <v:rect style="width:0;height:1.5pt" o:hralign="center" o:hrstd="t" o:hr="t"/>
        </w:pict>
      </w:r>
    </w:p>
    <w:bookmarkEnd w:id="22"/>
    <w:bookmarkStart w:id="24" w:name="instruments-of-secret-executive-law"/>
    <w:p>
      <w:pPr>
        <w:pStyle w:val="Heading2"/>
      </w:pPr>
      <w:r>
        <w:t xml:space="preserve">2. Instruments of secret executive law</w:t>
      </w:r>
    </w:p>
    <w:tbl>
      <w:tblPr>
        <w:tblStyle w:val="Table"/>
        <w:tblW w:type="pct" w:w="5000"/>
        <w:jc w:val="start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Instrument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Source of authority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Publication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Executive orders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II; statutes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Federal Register Act, 44 U.S.C. §1505(a)(1), requires publication of executive orders</w:t>
            </w:r>
            <w:r>
              <w:t xml:space="preserve"> </w:t>
            </w:r>
            <w:r>
              <w:t xml:space="preserve">“</w:t>
            </w:r>
            <w:r>
              <w:t xml:space="preserve">except those not having general applicability and legal effect or effective only against Federal agencies or persons in their capacity as officers, agents, or employees thereof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Classified orders and classified annexes exist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National security directives (NSAM, NSDM, PD, NSDD, NSD, PDD, NSPD, PPD, NSPM, NSM)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II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 required to be published; many classified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FAS maintains indexes of known directives; numbering resets with administrations (two series of NSPMs)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Covert action findings and memoranda of notification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 U.S.C. §3093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Reported to intelligence committees (Gang of Eight in limited cases)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Statute bars findings that authorize unlawful action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OLC opinions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 U.S.C. §§511-513; 28 C.F.R. §0.25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Discretionary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Treated as binding within the executive branch; many national security opinions classified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Classified annexes to authorization and appropriations acts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Congress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Classified schedules referenced in public law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Secret law</w:t>
            </w:r>
            <w:r>
              <w:t xml:space="preserve">”</w:t>
            </w:r>
            <w:r>
              <w:t xml:space="preserve"> </w:t>
            </w:r>
            <w:r>
              <w:t xml:space="preserve">made by Congress (Rudesill)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Department of Defense SAP instruments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U.S.C. §119; DoDD/DoDM 5205.07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 published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Create unacknowledged and waived SAPs; govern access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Security classification guides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EO 13526 §2.2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Often classified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FY2026 NDAA required AARO to account for UAP-related guides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Historical UAP reporting rules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JANAP 146 (CIRVIS); AFR 200-2 (1953, 1954); AFR 80-17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Published, later rescinded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Documented and authentic</w:t>
            </w:r>
          </w:p>
        </w:tc>
      </w:tr>
    </w:tbl>
    <w:p>
      <w:pPr>
        <w:pStyle w:val="BodyText"/>
      </w:pPr>
      <w:r>
        <w:t xml:space="preserve">A current example of classified executive rules governing UAP is the set of</w:t>
      </w:r>
      <w:r>
        <w:t xml:space="preserve"> </w:t>
      </w:r>
      <w:r>
        <w:t xml:space="preserve">“</w:t>
      </w:r>
      <w:r>
        <w:t xml:space="preserve">classified policy parameters</w:t>
      </w:r>
      <w:r>
        <w:t xml:space="preserve">”</w:t>
      </w:r>
      <w:r>
        <w:t xml:space="preserve"> </w:t>
      </w:r>
      <w:r>
        <w:t xml:space="preserve">for</w:t>
      </w:r>
      <w:r>
        <w:t xml:space="preserve"> </w:t>
      </w:r>
      <w:r>
        <w:t xml:space="preserve">engaging unidentified aerial objects announced after the February 2023 shootdowns. The President said they would</w:t>
      </w:r>
      <w:r>
        <w:t xml:space="preserve"> </w:t>
      </w:r>
      <w:r>
        <w:t xml:space="preserve">be shared with Congress and</w:t>
      </w:r>
      <w:r>
        <w:t xml:space="preserve"> </w:t>
      </w:r>
      <w:r>
        <w:t xml:space="preserve">“</w:t>
      </w:r>
      <w:r>
        <w:t xml:space="preserve">remain classified so we don’t give our roadmap to our enemies,</w:t>
      </w:r>
      <w:r>
        <w:t xml:space="preserve">”</w:t>
      </w:r>
      <w:r>
        <w:t xml:space="preserve"> </w:t>
      </w:r>
      <w:r>
        <w:t xml:space="preserve">and that they</w:t>
      </w:r>
      <w:r>
        <w:t xml:space="preserve"> </w:t>
      </w:r>
      <w:r>
        <w:t xml:space="preserve">“</w:t>
      </w:r>
      <w:r>
        <w:t xml:space="preserve">will</w:t>
      </w:r>
      <w:r>
        <w:t xml:space="preserve"> </w:t>
      </w:r>
      <w:r>
        <w:t xml:space="preserve">guide what actions we will take while responding to unmanned and unidentified aerial objects.</w:t>
      </w:r>
      <w:r>
        <w:t xml:space="preserve">”</w:t>
      </w:r>
      <w:r>
        <w:t xml:space="preserve"> </w:t>
      </w:r>
      <w:r>
        <w:t xml:space="preserve">Remarks on the</w:t>
      </w:r>
      <w:r>
        <w:t xml:space="preserve"> </w:t>
      </w:r>
      <w:r>
        <w:t xml:space="preserve">United States Response to Unidentified Aerial Objects in North American Airspace (Feb. 16, 2023). They are the kind of directive an MDR or FOIA request (</w:t>
      </w:r>
      <w:hyperlink r:id="rId23">
        <w:r>
          <w:rPr>
            <w:rStyle w:val="Hyperlink"/>
          </w:rPr>
          <w:t xml:space="preserve">Form A2-1</w:t>
        </w:r>
      </w:hyperlink>
      <w:r>
        <w:t xml:space="preserve">) should name specifically.</w:t>
      </w:r>
    </w:p>
    <w:p>
      <w:pPr>
        <w:pStyle w:val="BodyText"/>
      </w:pPr>
      <w:r>
        <w:t xml:space="preserve">JANAP 146, the joint U.S.-Canadian procedure for</w:t>
      </w:r>
      <w:r>
        <w:t xml:space="preserve"> </w:t>
      </w:r>
      <w:r>
        <w:t xml:space="preserve">“</w:t>
      </w:r>
      <w:r>
        <w:t xml:space="preserve">Communication Instructions for Reporting Vital</w:t>
      </w:r>
      <w:r>
        <w:t xml:space="preserve"> </w:t>
      </w:r>
      <w:r>
        <w:t xml:space="preserve">Intelligence Sightings</w:t>
      </w:r>
      <w:r>
        <w:t xml:space="preserve">”</w:t>
      </w:r>
      <w:r>
        <w:t xml:space="preserve"> </w:t>
      </w:r>
      <w:r>
        <w:t xml:space="preserve">(CIRVIS), is the clearest historical example of a published military directive</w:t>
      </w:r>
      <w:r>
        <w:t xml:space="preserve"> </w:t>
      </w:r>
      <w:r>
        <w:t xml:space="preserve">reaching civilians. It applied to U.S. and Canadian civil and commercial aircraft and merchant and fishing</w:t>
      </w:r>
      <w:r>
        <w:t xml:space="preserve"> </w:t>
      </w:r>
      <w:r>
        <w:t xml:space="preserve">vessels (¶102.b), required reports of</w:t>
      </w:r>
      <w:r>
        <w:t xml:space="preserve"> </w:t>
      </w:r>
      <w:r>
        <w:t xml:space="preserve">“</w:t>
      </w:r>
      <w:r>
        <w:t xml:space="preserve">unidentified flying objects</w:t>
      </w:r>
      <w:r>
        <w:t xml:space="preserve">”</w:t>
      </w:r>
      <w:r>
        <w:t xml:space="preserve"> </w:t>
      </w:r>
      <w:r>
        <w:t xml:space="preserve">among other sightings (¶201), and warned</w:t>
      </w:r>
      <w:r>
        <w:t xml:space="preserve"> </w:t>
      </w:r>
      <w:r>
        <w:t xml:space="preserve">in its security section that the reports</w:t>
      </w:r>
      <w:r>
        <w:t xml:space="preserve"> </w:t>
      </w:r>
      <w:r>
        <w:t xml:space="preserve">“</w:t>
      </w:r>
      <w:r>
        <w:t xml:space="preserve">contain information affecting the National Defense</w:t>
      </w:r>
      <w:r>
        <w:t xml:space="preserve">”</w:t>
      </w:r>
      <w:r>
        <w:t xml:space="preserve"> </w:t>
      </w:r>
      <w:r>
        <w:t xml:space="preserve">and that</w:t>
      </w:r>
      <w:r>
        <w:t xml:space="preserve"> </w:t>
      </w:r>
      <w:r>
        <w:t xml:space="preserve">“</w:t>
      </w:r>
      <w:r>
        <w:t xml:space="preserve">[a]ny person who makes an unauthorized transmission or disclosure of such a report may be liable to</w:t>
      </w:r>
      <w:r>
        <w:t xml:space="preserve"> </w:t>
      </w:r>
      <w:r>
        <w:t xml:space="preserve">prosecution under Title 18 of the US Code, Chapter 37</w:t>
      </w:r>
      <w:r>
        <w:t xml:space="preserve">”</w:t>
      </w:r>
      <w:r>
        <w:t xml:space="preserve"> </w:t>
      </w:r>
      <w:r>
        <w:t xml:space="preserve">(¶208). The warning did not itself create a crime; any</w:t>
      </w:r>
      <w:r>
        <w:t xml:space="preserve"> </w:t>
      </w:r>
      <w:r>
        <w:t xml:space="preserve">prosecution would have had to satisfy 18 U.S.C. §793 or another Chapter 37 offense. The edition released by</w:t>
      </w:r>
      <w:r>
        <w:t xml:space="preserve"> </w:t>
      </w:r>
      <w:r>
        <w:t xml:space="preserve">NSA</w:t>
      </w:r>
      <w:r>
        <w:t xml:space="preserve"> </w:t>
      </w:r>
      <w:r>
        <w:t xml:space="preserve">refers to Department of Transportation air route traffic control centers, so it postdates 1967; the edition</w:t>
      </w:r>
      <w:r>
        <w:t xml:space="preserve"> </w:t>
      </w:r>
      <w:r>
        <w:t xml:space="preserve">letter is illegible on the scan.</w:t>
      </w:r>
    </w:p>
    <w:p>
      <w:pPr>
        <w:pStyle w:val="BodyText"/>
      </w:pPr>
      <w:r>
        <w:t xml:space="preserve">Documents such as the</w:t>
      </w:r>
      <w:r>
        <w:t xml:space="preserve"> </w:t>
      </w:r>
      <w:r>
        <w:t xml:space="preserve">“</w:t>
      </w:r>
      <w:r>
        <w:t xml:space="preserve">Majestic 12</w:t>
      </w:r>
      <w:r>
        <w:t xml:space="preserve">”</w:t>
      </w:r>
      <w:r>
        <w:t xml:space="preserve"> </w:t>
      </w:r>
      <w:r>
        <w:t xml:space="preserve">papers are of disputed authenticity (the FBI’s online Vault labels</w:t>
      </w:r>
      <w:r>
        <w:t xml:space="preserve"> </w:t>
      </w:r>
      <w:r>
        <w:t xml:space="preserve">its file on them</w:t>
      </w:r>
      <w:r>
        <w:t xml:space="preserve"> </w:t>
      </w:r>
      <w:r>
        <w:t xml:space="preserve">“</w:t>
      </w:r>
      <w:r>
        <w:t xml:space="preserve">completely bogus</w:t>
      </w:r>
      <w:r>
        <w:t xml:space="preserve">”</w:t>
      </w:r>
      <w:r>
        <w:t xml:space="preserve">). Practitioners should not rely on them as evidence of any legal</w:t>
      </w:r>
      <w:r>
        <w:t xml:space="preserve"> </w:t>
      </w:r>
      <w:r>
        <w:t xml:space="preserve">instrument.</w:t>
      </w:r>
    </w:p>
    <w:p>
      <w:r>
        <w:pict>
          <v:rect style="width:0;height:1.5pt" o:hralign="center" o:hrstd="t" o:hr="t"/>
        </w:pict>
      </w:r>
    </w:p>
    <w:bookmarkEnd w:id="24"/>
    <w:bookmarkStart w:id="32" w:name="legal-force-of-a-secret-directive"/>
    <w:p>
      <w:pPr>
        <w:pStyle w:val="Heading2"/>
      </w:pPr>
      <w:r>
        <w:t xml:space="preserve">3. Legal force of a secret directive</w:t>
      </w:r>
    </w:p>
    <w:bookmarkStart w:id="25" w:name="form-and-duration"/>
    <w:p>
      <w:pPr>
        <w:pStyle w:val="Heading3"/>
      </w:pPr>
      <w:r>
        <w:t xml:space="preserve">3.1 Form and duration</w:t>
      </w:r>
    </w:p>
    <w:p>
      <w:pPr>
        <w:pStyle w:val="FirstParagraph"/>
      </w:pPr>
      <w:r>
        <w:t xml:space="preserve">The Office of Legal Counsel has concluded that a presidential directive and an executive order have</w:t>
      </w:r>
      <w:r>
        <w:t xml:space="preserve"> </w:t>
      </w:r>
      <w:r>
        <w:t xml:space="preserve">the same legal effect:</w:t>
      </w:r>
      <w:r>
        <w:t xml:space="preserve"> </w:t>
      </w:r>
      <w:r>
        <w:t xml:space="preserve">“</w:t>
      </w:r>
      <w:r>
        <w:t xml:space="preserve">It is the substance of the presidential action that is determinative, not the</w:t>
      </w:r>
      <w:r>
        <w:t xml:space="preserve"> </w:t>
      </w:r>
      <w:r>
        <w:t xml:space="preserve">form of the document conveying that action.</w:t>
      </w:r>
      <w:r>
        <w:t xml:space="preserve">”</w:t>
      </w:r>
      <w:r>
        <w:t xml:space="preserve"> </w:t>
      </w:r>
      <w:r>
        <w:t xml:space="preserve">Both</w:t>
      </w:r>
      <w:r>
        <w:t xml:space="preserve"> </w:t>
      </w:r>
      <w:r>
        <w:t xml:space="preserve">“</w:t>
      </w:r>
      <w:r>
        <w:t xml:space="preserve">remain effective upon a change in administration,</w:t>
      </w:r>
      <w:r>
        <w:t xml:space="preserve"> </w:t>
      </w:r>
      <w:r>
        <w:t xml:space="preserve">unless otherwise specified in the document, and both continue to be effective until subsequent</w:t>
      </w:r>
      <w:r>
        <w:t xml:space="preserve"> </w:t>
      </w:r>
      <w:r>
        <w:t xml:space="preserve">presidential action is taken.</w:t>
      </w:r>
      <w:r>
        <w:t xml:space="preserve">”</w:t>
      </w:r>
      <w:r>
        <w:t xml:space="preserve"> </w:t>
      </w:r>
      <w:r>
        <w:rPr>
          <w:iCs/>
          <w:i/>
        </w:rPr>
        <w:t xml:space="preserve">Legal Effectiveness of a Presidential Directive, as Compared to an</w:t>
      </w:r>
      <w:r>
        <w:rPr>
          <w:iCs/>
          <w:i/>
        </w:rPr>
        <w:t xml:space="preserve"> </w:t>
      </w:r>
      <w:r>
        <w:rPr>
          <w:iCs/>
          <w:i/>
        </w:rPr>
        <w:t xml:space="preserve">Executive Order</w:t>
      </w:r>
      <w:r>
        <w:t xml:space="preserve">, 24 Op. O.L.C. 29, 29 (2000) (headnote). The opinion (by Acting Assistant Attorney General</w:t>
      </w:r>
      <w:r>
        <w:t xml:space="preserve"> </w:t>
      </w:r>
      <w:r>
        <w:t xml:space="preserve">Randolph Moss, Jan. 29, 2000) states that</w:t>
      </w:r>
      <w:r>
        <w:t xml:space="preserve"> </w:t>
      </w:r>
      <w:r>
        <w:t xml:space="preserve">“</w:t>
      </w:r>
      <w:r>
        <w:t xml:space="preserve">there is no substantive difference in the legal effectiveness of an</w:t>
      </w:r>
      <w:r>
        <w:t xml:space="preserve"> </w:t>
      </w:r>
      <w:r>
        <w:t xml:space="preserve">executive order and a presidential directive that is styled other than as an executive order,</w:t>
      </w:r>
      <w:r>
        <w:t xml:space="preserve">”</w:t>
      </w:r>
      <w:r>
        <w:t xml:space="preserve"> </w:t>
      </w:r>
      <w:r>
        <w:t xml:space="preserve">and that a directive</w:t>
      </w:r>
      <w:r>
        <w:t xml:space="preserve"> </w:t>
      </w:r>
      <w:r>
        <w:t xml:space="preserve">“</w:t>
      </w:r>
      <w:r>
        <w:t xml:space="preserve">would not automatically lapse upon a change of administration.</w:t>
      </w:r>
      <w:r>
        <w:t xml:space="preserve">”</w:t>
      </w:r>
      <w:r>
        <w:t xml:space="preserve"> </w:t>
      </w:r>
      <w:r>
        <w:rPr>
          <w:iCs/>
          <w:i/>
        </w:rPr>
        <w:t xml:space="preserve">Id.</w:t>
      </w:r>
      <w:r>
        <w:t xml:space="preserve"> </w:t>
      </w:r>
      <w:r>
        <w:t xml:space="preserve">at 29. A directive issued decades ago therefore</w:t>
      </w:r>
      <w:r>
        <w:t xml:space="preserve"> </w:t>
      </w:r>
      <w:r>
        <w:t xml:space="preserve">continues in force unless revoked, which matters if UAP programs rest on old instruments.</w:t>
      </w:r>
    </w:p>
    <w:bookmarkEnd w:id="25"/>
    <w:bookmarkStart w:id="26" w:name="X0fc798f8d8a3041db1d1f059da1b40e9417e69f"/>
    <w:p>
      <w:pPr>
        <w:pStyle w:val="Heading3"/>
      </w:pPr>
      <w:r>
        <w:t xml:space="preserve">3.2 A President may depart from his own published orders without notice</w:t>
      </w:r>
    </w:p>
    <w:p>
      <w:pPr>
        <w:pStyle w:val="FirstParagraph"/>
      </w:pPr>
      <w:r>
        <w:t xml:space="preserve">On December 7, 2007, Senator Sheldon Whitehouse read on the Senate floor three propositions he had had</w:t>
      </w:r>
      <w:r>
        <w:t xml:space="preserve"> </w:t>
      </w:r>
      <w:r>
        <w:t xml:space="preserve">declassified from secret OLC opinions,</w:t>
      </w:r>
      <w:r>
        <w:t xml:space="preserve"> </w:t>
      </w:r>
      <w:r>
        <w:t xml:space="preserve">“</w:t>
      </w:r>
      <w:r>
        <w:t xml:space="preserve">as accurately as my note-taking could reproduce them.</w:t>
      </w:r>
      <w:r>
        <w:t xml:space="preserve">”</w:t>
      </w:r>
      <w:r>
        <w:t xml:space="preserve"> </w:t>
      </w:r>
      <w:r>
        <w:t xml:space="preserve">The first:</w:t>
      </w:r>
      <w:r>
        <w:t xml:space="preserve"> </w:t>
      </w:r>
      <w:r>
        <w:t xml:space="preserve">“</w:t>
      </w:r>
      <w:r>
        <w:t xml:space="preserve">An</w:t>
      </w:r>
      <w:r>
        <w:t xml:space="preserve"> </w:t>
      </w:r>
      <w:r>
        <w:t xml:space="preserve">Executive order cannot limit a President. There is no constitutional requirement for a President to issue a new</w:t>
      </w:r>
      <w:r>
        <w:t xml:space="preserve"> </w:t>
      </w:r>
      <w:r>
        <w:t xml:space="preserve">Executive order whenever he wishes to depart from the terms of a previous Executive order. Rather than violate an</w:t>
      </w:r>
      <w:r>
        <w:t xml:space="preserve"> </w:t>
      </w:r>
      <w:r>
        <w:t xml:space="preserve">Executive order, the President has instead modified or waived it.</w:t>
      </w:r>
      <w:r>
        <w:t xml:space="preserve">”</w:t>
      </w:r>
      <w:r>
        <w:t xml:space="preserve"> </w:t>
      </w:r>
      <w:r>
        <w:t xml:space="preserve">The second:</w:t>
      </w:r>
      <w:r>
        <w:t xml:space="preserve"> </w:t>
      </w:r>
      <w:r>
        <w:t xml:space="preserve">“</w:t>
      </w:r>
      <w:r>
        <w:t xml:space="preserve">The President, exercising his</w:t>
      </w:r>
      <w:r>
        <w:t xml:space="preserve"> </w:t>
      </w:r>
      <w:r>
        <w:t xml:space="preserve">constitutional authority under article II, can determine whether an action is a lawful exercise of the</w:t>
      </w:r>
      <w:r>
        <w:t xml:space="preserve"> </w:t>
      </w:r>
      <w:r>
        <w:t xml:space="preserve">President’s authority under article II.</w:t>
      </w:r>
      <w:r>
        <w:t xml:space="preserve">”</w:t>
      </w:r>
      <w:r>
        <w:t xml:space="preserve"> </w:t>
      </w:r>
      <w:r>
        <w:t xml:space="preserve">The third:</w:t>
      </w:r>
      <w:r>
        <w:t xml:space="preserve"> </w:t>
      </w:r>
      <w:r>
        <w:t xml:space="preserve">“</w:t>
      </w:r>
      <w:r>
        <w:t xml:space="preserve">The Department of Justice is bound by the</w:t>
      </w:r>
      <w:r>
        <w:t xml:space="preserve"> </w:t>
      </w:r>
      <w:r>
        <w:t xml:space="preserve">President’s legal determinations.</w:t>
      </w:r>
      <w:r>
        <w:t xml:space="preserve">”</w:t>
      </w:r>
      <w:r>
        <w:t xml:space="preserve"> </w:t>
      </w:r>
      <w:r>
        <w:t xml:space="preserve">153 Cong. Rec. S15011-12 (daily ed. Dec. 7, 2007). Senators Feingold and Whitehouse proposed</w:t>
      </w:r>
      <w:r>
        <w:t xml:space="preserve"> </w:t>
      </w:r>
      <w:r>
        <w:t xml:space="preserve">legislation requiring public notice when the President modifies or waives a published order, and the</w:t>
      </w:r>
      <w:r>
        <w:t xml:space="preserve"> </w:t>
      </w:r>
      <w:r>
        <w:t xml:space="preserve">Senate Judiciary Committee’s Constitution Subcommittee held a hearing on</w:t>
      </w:r>
      <w:r>
        <w:t xml:space="preserve"> </w:t>
      </w:r>
      <w:r>
        <w:t xml:space="preserve">“</w:t>
      </w:r>
      <w:r>
        <w:t xml:space="preserve">secret law</w:t>
      </w:r>
      <w:r>
        <w:t xml:space="preserve">”</w:t>
      </w:r>
      <w:r>
        <w:t xml:space="preserve"> </w:t>
      </w:r>
      <w:r>
        <w:t xml:space="preserve">on April 30, 2008.</w:t>
      </w:r>
      <w:r>
        <w:t xml:space="preserve"> </w:t>
      </w:r>
      <w:r>
        <w:t xml:space="preserve">The practical point is that published executive orders, including EO 12333 on intelligence activities</w:t>
      </w:r>
      <w:r>
        <w:t xml:space="preserve"> </w:t>
      </w:r>
      <w:r>
        <w:t xml:space="preserve">and EO 13526 on classification, may not describe the rules actually in force for a given program.</w:t>
      </w:r>
    </w:p>
    <w:bookmarkEnd w:id="26"/>
    <w:bookmarkStart w:id="28" w:name="limits-statutes-and-youngstown"/>
    <w:p>
      <w:pPr>
        <w:pStyle w:val="Heading3"/>
      </w:pPr>
      <w:r>
        <w:t xml:space="preserve">3.3 Limits: statutes and</w:t>
      </w:r>
      <w:r>
        <w:t xml:space="preserve"> </w:t>
      </w:r>
      <w:r>
        <w:rPr>
          <w:iCs/>
          <w:i/>
        </w:rPr>
        <w:t xml:space="preserve">Youngstown</w:t>
      </w:r>
    </w:p>
    <w:p>
      <w:pPr>
        <w:pStyle w:val="FirstParagraph"/>
      </w:pPr>
      <w:r>
        <w:t xml:space="preserve">Under Justice Jackson’s framework in</w:t>
      </w:r>
      <w:r>
        <w:t xml:space="preserve"> </w:t>
      </w:r>
      <w:r>
        <w:rPr>
          <w:iCs/>
          <w:i/>
        </w:rPr>
        <w:t xml:space="preserve">Youngstown Sheet &amp; Tube Co. v. Sawyer</w:t>
      </w:r>
      <w:r>
        <w:t xml:space="preserve">, 343 U.S. 579, 635-38</w:t>
      </w:r>
      <w:r>
        <w:t xml:space="preserve"> </w:t>
      </w:r>
      <w:r>
        <w:t xml:space="preserve">(1952) (concurring opinion), presidential power is at its lowest when the President acts against the</w:t>
      </w:r>
      <w:r>
        <w:t xml:space="preserve"> </w:t>
      </w:r>
      <w:r>
        <w:t xml:space="preserve">express or implied will of Congress. In that category, the President may rely only on powers that</w:t>
      </w:r>
      <w:r>
        <w:t xml:space="preserve"> </w:t>
      </w:r>
      <w:r>
        <w:t xml:space="preserve">Congress cannot regulate.</w:t>
      </w:r>
      <w:r>
        <w:t xml:space="preserve"> </w:t>
      </w:r>
      <w:r>
        <w:rPr>
          <w:iCs/>
          <w:i/>
        </w:rPr>
        <w:t xml:space="preserve">See also Medellín v. Texas</w:t>
      </w:r>
      <w:r>
        <w:t xml:space="preserve">, 552 U.S. 491, 524-25 (2008);</w:t>
      </w:r>
      <w:r>
        <w:t xml:space="preserve"> </w:t>
      </w:r>
      <w:r>
        <w:rPr>
          <w:iCs/>
          <w:i/>
        </w:rPr>
        <w:t xml:space="preserve">Zivotofsky v.</w:t>
      </w:r>
      <w:r>
        <w:rPr>
          <w:iCs/>
          <w:i/>
        </w:rPr>
        <w:t xml:space="preserve"> </w:t>
      </w:r>
      <w:r>
        <w:rPr>
          <w:iCs/>
          <w:i/>
        </w:rPr>
        <w:t xml:space="preserve">Kerry</w:t>
      </w:r>
      <w:r>
        <w:t xml:space="preserve">, 576 U.S. 1, 10 (2015) (recognition power exclusive). A secret directive has no greater force</w:t>
      </w:r>
      <w:r>
        <w:t xml:space="preserve"> </w:t>
      </w:r>
      <w:r>
        <w:t xml:space="preserve">than a published one; secrecy adds nothing to the President’s constitutional power.</w:t>
      </w:r>
    </w:p>
    <w:p>
      <w:pPr>
        <w:pStyle w:val="BodyText"/>
      </w:pPr>
      <w:r>
        <w:t xml:space="preserve">Congress has legislated on the specific subject of UAP programs. Relevant enactments include:</w:t>
      </w:r>
    </w:p>
    <w:p>
      <w:pPr>
        <w:pStyle w:val="Compact"/>
        <w:numPr>
          <w:ilvl w:val="0"/>
          <w:numId w:val="1002"/>
        </w:numPr>
      </w:pPr>
      <w:r>
        <w:t xml:space="preserve">50 U.S.C. §3373b (FY2023 NDAA §1673), authorizing disclosures to AARO notwithstanding nondisclosure</w:t>
      </w:r>
      <w:r>
        <w:t xml:space="preserve"> </w:t>
      </w:r>
      <w:r>
        <w:t xml:space="preserve">agreements and other restraints, and protecting those who make them from reprisal;</w:t>
      </w:r>
    </w:p>
    <w:p>
      <w:pPr>
        <w:pStyle w:val="Compact"/>
        <w:numPr>
          <w:ilvl w:val="0"/>
          <w:numId w:val="1002"/>
        </w:numPr>
      </w:pPr>
      <w:r>
        <w:t xml:space="preserve">FY2024 NDAA §1687 (Pub. L. 118-31), barring the use of funds for UAP-related activities, including</w:t>
      </w:r>
      <w:r>
        <w:t xml:space="preserve"> </w:t>
      </w:r>
      <w:r>
        <w:t xml:space="preserve">retrieval and reverse engineering, that were not reported to the appropriate committees and to AARO</w:t>
      </w:r>
      <w:r>
        <w:t xml:space="preserve"> </w:t>
      </w:r>
      <w:r>
        <w:t xml:space="preserve">(the FY2025 NDAA did not renew it);</w:t>
      </w:r>
    </w:p>
    <w:p>
      <w:pPr>
        <w:pStyle w:val="Compact"/>
        <w:numPr>
          <w:ilvl w:val="0"/>
          <w:numId w:val="1002"/>
        </w:numPr>
      </w:pPr>
      <w:r>
        <w:t xml:space="preserve">FY2024 NDAA §§1841-1843 (44 U.S.C. §2107 note), requiring agencies to identify and transmit UAP</w:t>
      </w:r>
      <w:r>
        <w:t xml:space="preserve"> </w:t>
      </w:r>
      <w:r>
        <w:t xml:space="preserve">records to the National Archives;</w:t>
      </w:r>
    </w:p>
    <w:p>
      <w:pPr>
        <w:pStyle w:val="Compact"/>
        <w:numPr>
          <w:ilvl w:val="0"/>
          <w:numId w:val="1002"/>
        </w:numPr>
      </w:pPr>
      <w:r>
        <w:t xml:space="preserve">50 U.S.C. §3091 (duty to keep the intelligence committees</w:t>
      </w:r>
      <w:r>
        <w:t xml:space="preserve"> </w:t>
      </w:r>
      <w:r>
        <w:t xml:space="preserve">“</w:t>
      </w:r>
      <w:r>
        <w:t xml:space="preserve">fully and currently informed</w:t>
      </w:r>
      <w:r>
        <w:t xml:space="preserve">”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10 U.S.C. §119 (reports to Congress on special access programs, including waived programs);</w:t>
      </w:r>
    </w:p>
    <w:p>
      <w:pPr>
        <w:pStyle w:val="Compact"/>
        <w:numPr>
          <w:ilvl w:val="0"/>
          <w:numId w:val="1002"/>
        </w:numPr>
      </w:pPr>
      <w:r>
        <w:t xml:space="preserve">50 U.S.C. §3094(a), under which appropriated funds available to an intelligence agency</w:t>
      </w:r>
      <w:r>
        <w:t xml:space="preserve"> </w:t>
      </w:r>
      <w:r>
        <w:t xml:space="preserve">“</w:t>
      </w:r>
      <w:r>
        <w:t xml:space="preserve">may be obligated or</w:t>
      </w:r>
      <w:r>
        <w:t xml:space="preserve"> </w:t>
      </w:r>
      <w:r>
        <w:t xml:space="preserve">expended for an intelligence or intelligence-related activity only if</w:t>
      </w:r>
      <w:r>
        <w:t xml:space="preserve">”</w:t>
      </w:r>
      <w:r>
        <w:t xml:space="preserve"> </w:t>
      </w:r>
      <w:r>
        <w:t xml:space="preserve">they</w:t>
      </w:r>
      <w:r>
        <w:t xml:space="preserve"> </w:t>
      </w:r>
      <w:r>
        <w:t xml:space="preserve">“</w:t>
      </w:r>
      <w:r>
        <w:t xml:space="preserve">were specifically authorized by</w:t>
      </w:r>
      <w:r>
        <w:t xml:space="preserve"> </w:t>
      </w:r>
      <w:r>
        <w:t xml:space="preserve">Congress for use for such intelligence or intelligence-related activities</w:t>
      </w:r>
      <w:r>
        <w:t xml:space="preserve">”</w:t>
      </w:r>
      <w:r>
        <w:t xml:space="preserve"> </w:t>
      </w:r>
      <w:r>
        <w:t xml:space="preserve">(or come from the CIA Reserve for</w:t>
      </w:r>
      <w:r>
        <w:t xml:space="preserve"> </w:t>
      </w:r>
      <w:r>
        <w:t xml:space="preserve">Contingencies under stated conditions). An intelligence-funded UAP program that was never specifically</w:t>
      </w:r>
      <w:r>
        <w:t xml:space="preserve"> </w:t>
      </w:r>
      <w:r>
        <w:t xml:space="preserve">authorized was funded unlawfully whatever a classified directive said, and no directive can cure that.</w:t>
      </w:r>
    </w:p>
    <w:p>
      <w:pPr>
        <w:pStyle w:val="FirstParagraph"/>
      </w:pPr>
      <w:r>
        <w:t xml:space="preserve">The Constitution adds its own requirement:</w:t>
      </w:r>
      <w:r>
        <w:t xml:space="preserve"> </w:t>
      </w:r>
      <w:r>
        <w:t xml:space="preserve">“</w:t>
      </w:r>
      <w:r>
        <w:t xml:space="preserve">a regular Statement and Account of the Receipts and Expenditures of</w:t>
      </w:r>
      <w:r>
        <w:t xml:space="preserve"> </w:t>
      </w:r>
      <w:r>
        <w:t xml:space="preserve">all public Money shall be published from time to time</w:t>
      </w:r>
      <w:r>
        <w:t xml:space="preserve">”</w:t>
      </w:r>
      <w:r>
        <w:t xml:space="preserve"> </w:t>
      </w:r>
      <w:r>
        <w:t xml:space="preserve">(art. I, §9, cl. 7). The Supreme Court held that a</w:t>
      </w:r>
      <w:r>
        <w:t xml:space="preserve"> </w:t>
      </w:r>
      <w:r>
        <w:t xml:space="preserve">taxpayer lacked standing to enforce the clause against the secrecy of the CIA budget, describing the matter as</w:t>
      </w:r>
      <w:r>
        <w:t xml:space="preserve"> </w:t>
      </w:r>
      <w:r>
        <w:t xml:space="preserve">“</w:t>
      </w:r>
      <w:r>
        <w:t xml:space="preserve">committed to the surveillance of Congress.</w:t>
      </w:r>
      <w:r>
        <w:t xml:space="preserve">”</w:t>
      </w:r>
      <w:r>
        <w:t xml:space="preserve"> </w:t>
      </w:r>
      <w:r>
        <w:rPr>
          <w:iCs/>
          <w:i/>
        </w:rPr>
        <w:t xml:space="preserve">United States v. Richardson</w:t>
      </w:r>
      <w:r>
        <w:t xml:space="preserve">, 418 U.S. 166, 179 (1974). The clause is</w:t>
      </w:r>
      <w:r>
        <w:t xml:space="preserve"> </w:t>
      </w:r>
      <w:r>
        <w:t xml:space="preserve">therefore enforced by Congress, which is one more reason the funding statutes above, and not litigation, are the</w:t>
      </w:r>
      <w:r>
        <w:t xml:space="preserve"> </w:t>
      </w:r>
      <w:r>
        <w:t xml:space="preserve">practical check on a secret program (</w:t>
      </w:r>
      <w:hyperlink r:id="rId27">
        <w:r>
          <w:rPr>
            <w:rStyle w:val="Hyperlink"/>
          </w:rPr>
          <w:t xml:space="preserve">Issue D1</w:t>
        </w:r>
      </w:hyperlink>
      <w:r>
        <w:t xml:space="preserve">).</w:t>
      </w:r>
    </w:p>
    <w:p>
      <w:pPr>
        <w:pStyle w:val="BodyText"/>
      </w:pPr>
      <w:r>
        <w:t xml:space="preserve">A directive that purported to authorize concealment of a UAP program from the committees, or spending</w:t>
      </w:r>
      <w:r>
        <w:t xml:space="preserve"> </w:t>
      </w:r>
      <w:r>
        <w:t xml:space="preserve">in the face of §1687, would fall in</w:t>
      </w:r>
      <w:r>
        <w:t xml:space="preserve"> </w:t>
      </w:r>
      <w:r>
        <w:rPr>
          <w:iCs/>
          <w:i/>
        </w:rPr>
        <w:t xml:space="preserve">Youngstown</w:t>
      </w:r>
      <w:r>
        <w:t xml:space="preserve">’s third category. The government’s best argument</w:t>
      </w:r>
      <w:r>
        <w:t xml:space="preserve"> </w:t>
      </w:r>
      <w:r>
        <w:t xml:space="preserve">would be that the President’s control of national security information, recognized in</w:t>
      </w:r>
      <w:r>
        <w:t xml:space="preserve"> </w:t>
      </w:r>
      <w:r>
        <w:rPr>
          <w:iCs/>
          <w:i/>
        </w:rPr>
        <w:t xml:space="preserve">Department of</w:t>
      </w:r>
      <w:r>
        <w:rPr>
          <w:iCs/>
          <w:i/>
        </w:rPr>
        <w:t xml:space="preserve"> </w:t>
      </w:r>
      <w:r>
        <w:rPr>
          <w:iCs/>
          <w:i/>
        </w:rPr>
        <w:t xml:space="preserve">the Navy v. Egan</w:t>
      </w:r>
      <w:r>
        <w:t xml:space="preserve">, 484 U.S. 518, 527 (1988), is exclusive. No court has held that Congress lacks power</w:t>
      </w:r>
      <w:r>
        <w:t xml:space="preserve"> </w:t>
      </w:r>
      <w:r>
        <w:t xml:space="preserve">to legislate on access to classified information, and the 2011 CRS analysis of the classification</w:t>
      </w:r>
      <w:r>
        <w:t xml:space="preserve"> </w:t>
      </w:r>
      <w:r>
        <w:t xml:space="preserve">framework notes the same point. Congress’s power over appropriations is at its strongest when it</w:t>
      </w:r>
      <w:r>
        <w:t xml:space="preserve"> </w:t>
      </w:r>
      <w:r>
        <w:t xml:space="preserve">attaches conditions to spending.</w:t>
      </w:r>
    </w:p>
    <w:bookmarkEnd w:id="28"/>
    <w:bookmarkStart w:id="29" w:name="covert-action"/>
    <w:p>
      <w:pPr>
        <w:pStyle w:val="Heading3"/>
      </w:pPr>
      <w:r>
        <w:t xml:space="preserve">3.4 Covert action</w:t>
      </w:r>
    </w:p>
    <w:p>
      <w:pPr>
        <w:pStyle w:val="FirstParagraph"/>
      </w:pPr>
      <w:r>
        <w:t xml:space="preserve">If a UAP program were structured as covert action, 50 U.S.C. §3093 would require a written</w:t>
      </w:r>
      <w:r>
        <w:t xml:space="preserve"> </w:t>
      </w:r>
      <w:r>
        <w:t xml:space="preserve">presidential finding, reporting to the intelligence committees, and compliance with subsection (a)(5):</w:t>
      </w:r>
      <w:r>
        <w:t xml:space="preserve"> </w:t>
      </w:r>
      <w:r>
        <w:t xml:space="preserve">a finding</w:t>
      </w:r>
      <w:r>
        <w:t xml:space="preserve"> </w:t>
      </w:r>
      <w:r>
        <w:t xml:space="preserve">“</w:t>
      </w:r>
      <w:r>
        <w:t xml:space="preserve">may not authorize any action that would violate the Constitution or any statute of the</w:t>
      </w:r>
      <w:r>
        <w:t xml:space="preserve"> </w:t>
      </w:r>
      <w:r>
        <w:t xml:space="preserve">United States.</w:t>
      </w:r>
      <w:r>
        <w:t xml:space="preserve">”</w:t>
      </w:r>
      <w:r>
        <w:t xml:space="preserve"> </w:t>
      </w:r>
      <w:r>
        <w:t xml:space="preserve">The statute also bars retroactive findings (§3093(a)(2)). Whether retrieval or</w:t>
      </w:r>
      <w:r>
        <w:t xml:space="preserve"> </w:t>
      </w:r>
      <w:r>
        <w:t xml:space="preserve">exploitation of recovered craft, or operations against UAP, would qualify as covert action depends on</w:t>
      </w:r>
      <w:r>
        <w:t xml:space="preserve"> </w:t>
      </w:r>
      <w:r>
        <w:t xml:space="preserve">whether the activity is meant</w:t>
      </w:r>
      <w:r>
        <w:t xml:space="preserve"> </w:t>
      </w:r>
      <w:r>
        <w:t xml:space="preserve">“</w:t>
      </w:r>
      <w:r>
        <w:t xml:space="preserve">to influence political, economic, or military conditions abroad</w:t>
      </w:r>
      <w:r>
        <w:t xml:space="preserve">”</w:t>
      </w:r>
      <w:r>
        <w:t xml:space="preserve"> </w:t>
      </w:r>
      <w:r>
        <w:t xml:space="preserve">with</w:t>
      </w:r>
      <w:r>
        <w:t xml:space="preserve"> </w:t>
      </w:r>
      <w:r>
        <w:t xml:space="preserve">the U.S. role unacknowledged (§3093(e)); most of the conduct insiders describe is domestic and would</w:t>
      </w:r>
      <w:r>
        <w:t xml:space="preserve"> </w:t>
      </w:r>
      <w:r>
        <w:t xml:space="preserve">fall outside the definition, which leaves it subject to ordinary statutes.</w:t>
      </w:r>
    </w:p>
    <w:bookmarkEnd w:id="29"/>
    <w:bookmarkStart w:id="31" w:name="X5ff783395029f54b73e3157bf7636c3430efacf"/>
    <w:p>
      <w:pPr>
        <w:pStyle w:val="Heading3"/>
      </w:pPr>
      <w:r>
        <w:t xml:space="preserve">3.5 Funding restrictions and the Iran-Contra precedent</w:t>
      </w:r>
    </w:p>
    <w:p>
      <w:pPr>
        <w:pStyle w:val="FirstParagraph"/>
      </w:pPr>
      <w:r>
        <w:t xml:space="preserve">The Iran-Contra prosecutions are the closest precedent for criminal accountability where officials</w:t>
      </w:r>
      <w:r>
        <w:t xml:space="preserve"> </w:t>
      </w:r>
      <w:r>
        <w:t xml:space="preserve">conceal activities that violate a funding restriction. In</w:t>
      </w:r>
      <w:r>
        <w:t xml:space="preserve"> </w:t>
      </w:r>
      <w:r>
        <w:rPr>
          <w:iCs/>
          <w:i/>
        </w:rPr>
        <w:t xml:space="preserve">United States v. North</w:t>
      </w:r>
      <w:r>
        <w:t xml:space="preserve">, 708 F. Supp. 375</w:t>
      </w:r>
      <w:r>
        <w:t xml:space="preserve"> </w:t>
      </w:r>
      <w:r>
        <w:t xml:space="preserve">(D.D.C. 1988), Judge Gesell refused to dismiss a charge of conspiracy to defraud the United States (18</w:t>
      </w:r>
      <w:r>
        <w:t xml:space="preserve"> </w:t>
      </w:r>
      <w:r>
        <w:t xml:space="preserve">U.S.C. §371) premised in part on concealment of activities that circumvented the Boland Amendments,</w:t>
      </w:r>
      <w:r>
        <w:t xml:space="preserve"> </w:t>
      </w:r>
      <w:r>
        <w:t xml:space="preserve">which barred funding for the Nicaraguan resistance. The court rejected the argument that the case</w:t>
      </w:r>
      <w:r>
        <w:t xml:space="preserve"> </w:t>
      </w:r>
      <w:r>
        <w:t xml:space="preserve">presented a political question, reasoning that the charges turned on what officials did and what they</w:t>
      </w:r>
      <w:r>
        <w:t xml:space="preserve"> </w:t>
      </w:r>
      <w:r>
        <w:t xml:space="preserve">were or were not authorized to do, and left the wisdom of the foreign policy aside. The court also declined to address North’s challenge to the Boland Amendments’ constitutionality,</w:t>
      </w:r>
      <w:r>
        <w:t xml:space="preserve"> </w:t>
      </w:r>
      <w:r>
        <w:t xml:space="preserve">because the White House had functioned as if it were complying with them.</w:t>
      </w:r>
      <w:r>
        <w:t xml:space="preserve"> </w:t>
      </w:r>
      <w:r>
        <w:rPr>
          <w:iCs/>
          <w:i/>
        </w:rPr>
        <w:t xml:space="preserve">Id.</w:t>
      </w:r>
      <w:r>
        <w:t xml:space="preserve"> </w:t>
      </w:r>
      <w:r>
        <w:t xml:space="preserve">at 377-78.</w:t>
      </w:r>
    </w:p>
    <w:p>
      <w:pPr>
        <w:pStyle w:val="BodyText"/>
      </w:pPr>
      <w:r>
        <w:t xml:space="preserve">The congressional phase of Iran-Contra produced the other half of the precedent: John Poindexter’s convictions for</w:t>
      </w:r>
      <w:r>
        <w:t xml:space="preserve"> </w:t>
      </w:r>
      <w:r>
        <w:t xml:space="preserve">obstructing Congress and making false statements to it were reversed because trial witnesses had been exposed to</w:t>
      </w:r>
      <w:r>
        <w:t xml:space="preserve"> </w:t>
      </w:r>
      <w:r>
        <w:t xml:space="preserve">his immunized testimony, not because the statements were lawful.</w:t>
      </w:r>
      <w:r>
        <w:t xml:space="preserve"> </w:t>
      </w:r>
      <w:r>
        <w:rPr>
          <w:iCs/>
          <w:i/>
        </w:rPr>
        <w:t xml:space="preserve">United States v. Poindexter</w:t>
      </w:r>
      <w:r>
        <w:t xml:space="preserve">, 951 F.2d 369 (D.C.</w:t>
      </w:r>
      <w:r>
        <w:t xml:space="preserve"> </w:t>
      </w:r>
      <w:r>
        <w:t xml:space="preserve">Cir. 1991) (Issues B3, D3).</w:t>
      </w:r>
    </w:p>
    <w:p>
      <w:pPr>
        <w:pStyle w:val="BodyText"/>
      </w:pPr>
      <w:r>
        <w:t xml:space="preserve">The FY2024 UAP funding restriction (§1687) is structurally similar to the Boland Amendments. Officials</w:t>
      </w:r>
      <w:r>
        <w:t xml:space="preserve"> </w:t>
      </w:r>
      <w:r>
        <w:t xml:space="preserve">who concealed UAP spending from Congress while that restriction was in force, and who misrepresented</w:t>
      </w:r>
      <w:r>
        <w:t xml:space="preserve"> </w:t>
      </w:r>
      <w:r>
        <w:t xml:space="preserve">the activity, could face a §371 defraud-clause theory of the kind upheld in</w:t>
      </w:r>
      <w:r>
        <w:t xml:space="preserve"> </w:t>
      </w:r>
      <w:r>
        <w:rPr>
          <w:iCs/>
          <w:i/>
        </w:rPr>
        <w:t xml:space="preserve">North</w:t>
      </w:r>
      <w:r>
        <w:t xml:space="preserve">. Limitations periods</w:t>
      </w:r>
      <w:r>
        <w:t xml:space="preserve"> </w:t>
      </w:r>
      <w:r>
        <w:t xml:space="preserve">matter: the general five-year federal period, 18 U.S.C. §3282, runs from the last overt act.</w:t>
      </w:r>
      <w:r>
        <w:t xml:space="preserve"> </w:t>
      </w:r>
      <w:hyperlink r:id="rId30">
        <w:r>
          <w:rPr>
            <w:rStyle w:val="Hyperlink"/>
          </w:rPr>
          <w:t xml:space="preserve">Issue D3</w:t>
        </w:r>
      </w:hyperlink>
      <w:r>
        <w:t xml:space="preserve"> </w:t>
      </w:r>
      <w:r>
        <w:t xml:space="preserve">develops criminal exposure.</w:t>
      </w:r>
    </w:p>
    <w:p>
      <w:r>
        <w:pict>
          <v:rect style="width:0;height:1.5pt" o:hralign="center" o:hrstd="t" o:hr="t"/>
        </w:pict>
      </w:r>
    </w:p>
    <w:bookmarkEnd w:id="31"/>
    <w:bookmarkEnd w:id="32"/>
    <w:bookmarkStart w:id="38" w:name="Xe3bc32dd73318dafbb5e5b173dd7ba5b654ab3b"/>
    <w:p>
      <w:pPr>
        <w:pStyle w:val="Heading2"/>
      </w:pPr>
      <w:r>
        <w:t xml:space="preserve">4. Liability of people who acted under secret directives</w:t>
      </w:r>
    </w:p>
    <w:bookmarkStart w:id="33" w:name="the-public-authority-defense"/>
    <w:p>
      <w:pPr>
        <w:pStyle w:val="Heading3"/>
      </w:pPr>
      <w:r>
        <w:t xml:space="preserve">4.1 The public-authority defense</w:t>
      </w:r>
    </w:p>
    <w:p>
      <w:pPr>
        <w:pStyle w:val="FirstParagraph"/>
      </w:pPr>
      <w:r>
        <w:t xml:space="preserve">A defendant who acted at the request of a government official may assert a public-authority defense,</w:t>
      </w:r>
      <w:r>
        <w:t xml:space="preserve"> </w:t>
      </w:r>
      <w:r>
        <w:t xml:space="preserve">noticed under Federal Rule of Criminal Procedure 12.3. Most circuits require that the official had</w:t>
      </w:r>
      <w:r>
        <w:t xml:space="preserve"> </w:t>
      </w:r>
      <w:r>
        <w:t xml:space="preserve">actual authority to sanction the conduct; reliance on an official who only appeared to have authority</w:t>
      </w:r>
      <w:r>
        <w:t xml:space="preserve"> </w:t>
      </w:r>
      <w:r>
        <w:t xml:space="preserve">does not suffice, although an honest belief may bear on whether the defendant had the required mens</w:t>
      </w:r>
      <w:r>
        <w:t xml:space="preserve"> </w:t>
      </w:r>
      <w:r>
        <w:t xml:space="preserve">rea.</w:t>
      </w:r>
      <w:r>
        <w:t xml:space="preserve"> </w:t>
      </w:r>
      <w:r>
        <w:rPr>
          <w:iCs/>
          <w:i/>
        </w:rPr>
        <w:t xml:space="preserve">United States v. Fulcher</w:t>
      </w:r>
      <w:r>
        <w:t xml:space="preserve">, 250 F.3d 244 (4th Cir. 2001) (new trial ordered where a government</w:t>
      </w:r>
      <w:r>
        <w:t xml:space="preserve"> </w:t>
      </w:r>
      <w:r>
        <w:t xml:space="preserve">agent’s post-trial testimony suggested he may have led the defendant to believe his conduct was</w:t>
      </w:r>
      <w:r>
        <w:t xml:space="preserve"> </w:t>
      </w:r>
      <w:r>
        <w:t xml:space="preserve">authorized; the parties had not litigated the agent’s actual authority). The D.C. Circuit’s Watergate</w:t>
      </w:r>
      <w:r>
        <w:t xml:space="preserve"> </w:t>
      </w:r>
      <w:r>
        <w:t xml:space="preserve">decision in</w:t>
      </w:r>
      <w:r>
        <w:t xml:space="preserve"> </w:t>
      </w:r>
      <w:r>
        <w:rPr>
          <w:iCs/>
          <w:i/>
        </w:rPr>
        <w:t xml:space="preserve">United States v. Barker</w:t>
      </w:r>
      <w:r>
        <w:t xml:space="preserve">, 546 F.2d 940 (D.C. Cir. 1976), is the case most often cited for a</w:t>
      </w:r>
      <w:r>
        <w:t xml:space="preserve"> </w:t>
      </w:r>
      <w:r>
        <w:t xml:space="preserve">mistake-of-law defense based on reasonable reliance on an official’s apparent authority, but it has no</w:t>
      </w:r>
      <w:r>
        <w:t xml:space="preserve"> </w:t>
      </w:r>
      <w:r>
        <w:t xml:space="preserve">majority rationale. The two judges who voted to reverse the Fielding break-in convictions wrote separately:</w:t>
      </w:r>
      <w:r>
        <w:t xml:space="preserve"> </w:t>
      </w:r>
      <w:r>
        <w:t xml:space="preserve">Judge Wilkey relied on good-faith reliance on the apparent authority of an official by citizens recruited</w:t>
      </w:r>
      <w:r>
        <w:t xml:space="preserve"> </w:t>
      </w:r>
      <w:r>
        <w:t xml:space="preserve">to assist him, and Judge Merhige relied on reliance on a government official’s misstatement of the law.</w:t>
      </w:r>
      <w:r>
        <w:t xml:space="preserve"> </w:t>
      </w:r>
      <w:r>
        <w:t xml:space="preserve">Judge Leventhal dissented. KeyCite shows a yellow flag, and the Third Circuit declined to follow</w:t>
      </w:r>
      <w:r>
        <w:t xml:space="preserve"> </w:t>
      </w:r>
      <w:r>
        <w:rPr>
          <w:iCs/>
          <w:i/>
        </w:rPr>
        <w:t xml:space="preserve">Barker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United States v. Pitt</w:t>
      </w:r>
      <w:r>
        <w:t xml:space="preserve"> </w:t>
      </w:r>
      <w:r>
        <w:t xml:space="preserve">(3d Cir. Oct. 1, 1999). Counsel should cite</w:t>
      </w:r>
      <w:r>
        <w:t xml:space="preserve"> </w:t>
      </w:r>
      <w:r>
        <w:rPr>
          <w:iCs/>
          <w:i/>
        </w:rPr>
        <w:t xml:space="preserve">Barker</w:t>
      </w:r>
      <w:r>
        <w:t xml:space="preserve"> </w:t>
      </w:r>
      <w:r>
        <w:t xml:space="preserve">with that history and pair it</w:t>
      </w:r>
      <w:r>
        <w:t xml:space="preserve"> </w:t>
      </w:r>
      <w:r>
        <w:t xml:space="preserve">with the circuit’s own public-authority cases.</w:t>
      </w:r>
    </w:p>
    <w:p>
      <w:pPr>
        <w:pStyle w:val="BodyText"/>
      </w:pPr>
      <w:r>
        <w:t xml:space="preserve">For UAP program participants, the defense turns on whether the directive or the official who invoked</w:t>
      </w:r>
      <w:r>
        <w:t xml:space="preserve"> </w:t>
      </w:r>
      <w:r>
        <w:t xml:space="preserve">it had lawful power to authorize the conduct. Under §3093(a)(5) and</w:t>
      </w:r>
      <w:r>
        <w:t xml:space="preserve"> </w:t>
      </w:r>
      <w:r>
        <w:rPr>
          <w:iCs/>
          <w:i/>
        </w:rPr>
        <w:t xml:space="preserve">Youngstown</w:t>
      </w:r>
      <w:r>
        <w:t xml:space="preserve">, a directive could not</w:t>
      </w:r>
      <w:r>
        <w:t xml:space="preserve"> </w:t>
      </w:r>
      <w:r>
        <w:t xml:space="preserve">lawfully authorize a statutory violation; a participant would then be left with the mens rea arguments</w:t>
      </w:r>
      <w:r>
        <w:t xml:space="preserve"> </w:t>
      </w:r>
      <w:r>
        <w:t xml:space="preserve">and with</w:t>
      </w:r>
      <w:r>
        <w:t xml:space="preserve"> </w:t>
      </w:r>
      <w:r>
        <w:rPr>
          <w:iCs/>
          <w:i/>
        </w:rPr>
        <w:t xml:space="preserve">Barker</w:t>
      </w:r>
      <w:r>
        <w:t xml:space="preserve">-type reliance arguments where they remain available.</w:t>
      </w:r>
    </w:p>
    <w:bookmarkEnd w:id="33"/>
    <w:bookmarkStart w:id="34" w:name="X616a692e09fe523358398539317a15f3b3f8e11"/>
    <w:p>
      <w:pPr>
        <w:pStyle w:val="Heading3"/>
      </w:pPr>
      <w:r>
        <w:t xml:space="preserve">4.2 Discovery of secret authorizations in criminal cases</w:t>
      </w:r>
    </w:p>
    <w:p>
      <w:pPr>
        <w:pStyle w:val="FirstParagraph"/>
      </w:pPr>
      <w:r>
        <w:t xml:space="preserve">A defendant who notices a public-authority defense can obtain discovery of government documents bearing</w:t>
      </w:r>
      <w:r>
        <w:t xml:space="preserve"> </w:t>
      </w:r>
      <w:r>
        <w:t xml:space="preserve">on it, including classified documents reviewed under CIPA. In</w:t>
      </w:r>
      <w:r>
        <w:t xml:space="preserve"> </w:t>
      </w:r>
      <w:r>
        <w:rPr>
          <w:iCs/>
          <w:i/>
        </w:rPr>
        <w:t xml:space="preserve">United States v. Giffen</w:t>
      </w:r>
      <w:r>
        <w:t xml:space="preserve">, 379 F. Supp.</w:t>
      </w:r>
      <w:r>
        <w:t xml:space="preserve"> </w:t>
      </w:r>
      <w:r>
        <w:t xml:space="preserve">2d 337 (S.D.N.Y. 2004), a businessman charged under the Foreign Corrupt Practices Act claimed that his</w:t>
      </w:r>
      <w:r>
        <w:t xml:space="preserve"> </w:t>
      </w:r>
      <w:r>
        <w:t xml:space="preserve">conduct was undertaken with the knowledge and approval of the CIA and other agencies. The court held</w:t>
      </w:r>
      <w:r>
        <w:t xml:space="preserve"> </w:t>
      </w:r>
      <w:r>
        <w:t xml:space="preserve">that documents pertaining to the possible public-authority defense were discoverable, that the</w:t>
      </w:r>
      <w:r>
        <w:t xml:space="preserve"> </w:t>
      </w:r>
      <w:r>
        <w:t xml:space="preserve">obligation extended to classified documents, and that it did not extend to documents of which the</w:t>
      </w:r>
      <w:r>
        <w:t xml:space="preserve"> </w:t>
      </w:r>
      <w:r>
        <w:t xml:space="preserve">prosecution was unaware. This is the most practical route by which secret directives become visible</w:t>
      </w:r>
      <w:r>
        <w:t xml:space="preserve"> </w:t>
      </w:r>
      <w:r>
        <w:t xml:space="preserve">in court: a prosecution of a program participant would put the authorizing instruments in issue.</w:t>
      </w:r>
    </w:p>
    <w:bookmarkEnd w:id="34"/>
    <w:bookmarkStart w:id="36" w:name="good-faith-reliance-on-legal-advice"/>
    <w:p>
      <w:pPr>
        <w:pStyle w:val="Heading3"/>
      </w:pPr>
      <w:r>
        <w:t xml:space="preserve">4.3 Good-faith reliance on legal advice</w:t>
      </w:r>
    </w:p>
    <w:p>
      <w:pPr>
        <w:pStyle w:val="FirstParagraph"/>
      </w:pPr>
      <w:r>
        <w:t xml:space="preserve">Congress has granted statutory reliance defenses in specific settings (for example, Detainee Treatment</w:t>
      </w:r>
      <w:r>
        <w:t xml:space="preserve"> </w:t>
      </w:r>
      <w:r>
        <w:t xml:space="preserve">Act of 2005 §1004, protecting officials who relied in good faith on legal advice concerning</w:t>
      </w:r>
      <w:r>
        <w:t xml:space="preserve"> </w:t>
      </w:r>
      <w:r>
        <w:t xml:space="preserve">interrogation). A UAP disclosure statute or truth commission statute could include a similar</w:t>
      </w:r>
      <w:r>
        <w:t xml:space="preserve"> </w:t>
      </w:r>
      <w:r>
        <w:t xml:space="preserve">provision (</w:t>
      </w:r>
      <w:hyperlink r:id="rId35">
        <w:r>
          <w:rPr>
            <w:rStyle w:val="Hyperlink"/>
          </w:rPr>
          <w:t xml:space="preserve">Issue B3</w:t>
        </w:r>
      </w:hyperlink>
      <w:r>
        <w:t xml:space="preserve">). Absent such a statute, reliance on OLC advice is relevant to intent but is not a</w:t>
      </w:r>
      <w:r>
        <w:t xml:space="preserve"> </w:t>
      </w:r>
      <w:r>
        <w:t xml:space="preserve">complete defense.</w:t>
      </w:r>
    </w:p>
    <w:bookmarkEnd w:id="36"/>
    <w:bookmarkStart w:id="37" w:name="immunity-of-the-president"/>
    <w:p>
      <w:pPr>
        <w:pStyle w:val="Heading3"/>
      </w:pPr>
      <w:r>
        <w:t xml:space="preserve">4.4 Immunity of the President</w:t>
      </w:r>
    </w:p>
    <w:p>
      <w:pPr>
        <w:pStyle w:val="FirstParagraph"/>
      </w:pPr>
      <w:r>
        <w:rPr>
          <w:iCs/>
          <w:i/>
        </w:rPr>
        <w:t xml:space="preserve">Trump v. United States</w:t>
      </w:r>
      <w:r>
        <w:t xml:space="preserve">, 603 U.S. 593 (2024), recognized immunity from criminal prosecution for a</w:t>
      </w:r>
      <w:r>
        <w:t xml:space="preserve"> </w:t>
      </w:r>
      <w:r>
        <w:t xml:space="preserve">President’s official acts, absolute within the President’s conclusive and preclusive authority and at</w:t>
      </w:r>
      <w:r>
        <w:t xml:space="preserve"> </w:t>
      </w:r>
      <w:r>
        <w:t xml:space="preserve">least presumptive for other official acts. The decision concerns the President personally. It does not</w:t>
      </w:r>
      <w:r>
        <w:t xml:space="preserve"> </w:t>
      </w:r>
      <w:r>
        <w:t xml:space="preserve">extend immunity to subordinates who carry out unlawful directives, and it does not make an unlawful</w:t>
      </w:r>
      <w:r>
        <w:t xml:space="preserve"> </w:t>
      </w:r>
      <w:r>
        <w:t xml:space="preserve">directive lawful.</w:t>
      </w:r>
    </w:p>
    <w:p>
      <w:r>
        <w:pict>
          <v:rect style="width:0;height:1.5pt" o:hralign="center" o:hrstd="t" o:hr="t"/>
        </w:pict>
      </w:r>
    </w:p>
    <w:bookmarkEnd w:id="37"/>
    <w:bookmarkEnd w:id="38"/>
    <w:bookmarkStart w:id="44" w:name="obtaining-secret-directives-and-opinions"/>
    <w:p>
      <w:pPr>
        <w:pStyle w:val="Heading2"/>
      </w:pPr>
      <w:r>
        <w:t xml:space="preserve">5. Obtaining secret directives and opinions</w:t>
      </w:r>
    </w:p>
    <w:bookmarkStart w:id="40" w:name="foia"/>
    <w:p>
      <w:pPr>
        <w:pStyle w:val="Heading3"/>
      </w:pPr>
      <w:r>
        <w:t xml:space="preserve">5.1 FOIA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Directives distributed to agencies.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Center for Effective Government v. Department of State</w:t>
      </w:r>
      <w:r>
        <w:t xml:space="preserve">,</w:t>
      </w:r>
      <w:r>
        <w:t xml:space="preserve"> </w:t>
      </w:r>
      <w:r>
        <w:t xml:space="preserve">7 F. Supp. 3d 16 (D.D.C. 2013), Judge Huvelle held, as a matter of first impression, that the</w:t>
      </w:r>
      <w:r>
        <w:t xml:space="preserve"> </w:t>
      </w:r>
      <w:r>
        <w:t xml:space="preserve">presidential communications privilege did not protect Presidential Policy Directive 6 on global</w:t>
      </w:r>
      <w:r>
        <w:t xml:space="preserve"> </w:t>
      </w:r>
      <w:r>
        <w:t xml:space="preserve">development, which had been distributed to agencies for implementation, and ordered it released. The</w:t>
      </w:r>
      <w:r>
        <w:t xml:space="preserve"> </w:t>
      </w:r>
      <w:r>
        <w:t xml:space="preserve">government did not argue that PPD-6 was not an agency record.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Directives controlled by the White House.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Electronic Privacy Information Center v. NSA</w:t>
      </w:r>
      <w:r>
        <w:t xml:space="preserve">, 988</w:t>
      </w:r>
      <w:r>
        <w:t xml:space="preserve"> </w:t>
      </w:r>
      <w:r>
        <w:t xml:space="preserve">F. Supp. 2d 1 (D.D.C. 2013), Judge Howell held that NSPD-54 (cybersecurity), which had been given</w:t>
      </w:r>
      <w:r>
        <w:t xml:space="preserve"> </w:t>
      </w:r>
      <w:r>
        <w:t xml:space="preserve">only to specific senior officials with dissemination beyond those with a need to know requiring</w:t>
      </w:r>
      <w:r>
        <w:t xml:space="preserve"> </w:t>
      </w:r>
      <w:r>
        <w:t xml:space="preserve">White House approval, was not an</w:t>
      </w:r>
      <w:r>
        <w:t xml:space="preserve"> </w:t>
      </w:r>
      <w:r>
        <w:t xml:space="preserve">“</w:t>
      </w:r>
      <w:r>
        <w:t xml:space="preserve">agency record</w:t>
      </w:r>
      <w:r>
        <w:t xml:space="preserve">”</w:t>
      </w:r>
      <w:r>
        <w:t xml:space="preserve"> </w:t>
      </w:r>
      <w:r>
        <w:t xml:space="preserve">because the White House retained control. The D.C.</w:t>
      </w:r>
      <w:r>
        <w:t xml:space="preserve"> </w:t>
      </w:r>
      <w:r>
        <w:t xml:space="preserve">Circuit later vacated the judgment in part as moot. 2014 WL 12596363 (D.C. Cir. July 31, 2014).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The National Security Council.</w:t>
      </w:r>
      <w:r>
        <w:t xml:space="preserve"> </w:t>
      </w:r>
      <w:r>
        <w:t xml:space="preserve">The NSC is not an</w:t>
      </w:r>
      <w:r>
        <w:t xml:space="preserve"> </w:t>
      </w:r>
      <w:r>
        <w:t xml:space="preserve">“</w:t>
      </w:r>
      <w:r>
        <w:t xml:space="preserve">agency</w:t>
      </w:r>
      <w:r>
        <w:t xml:space="preserve">”</w:t>
      </w:r>
      <w:r>
        <w:t xml:space="preserve"> </w:t>
      </w:r>
      <w:r>
        <w:t xml:space="preserve">subject to FOIA.</w:t>
      </w:r>
      <w:r>
        <w:t xml:space="preserve"> </w:t>
      </w:r>
      <w:r>
        <w:rPr>
          <w:iCs/>
          <w:i/>
        </w:rPr>
        <w:t xml:space="preserve">Main Street Legal</w:t>
      </w:r>
      <w:r>
        <w:rPr>
          <w:iCs/>
          <w:i/>
        </w:rPr>
        <w:t xml:space="preserve"> </w:t>
      </w:r>
      <w:r>
        <w:rPr>
          <w:iCs/>
          <w:i/>
        </w:rPr>
        <w:t xml:space="preserve">Services, Inc. v. National Security Council</w:t>
      </w:r>
      <w:r>
        <w:t xml:space="preserve">, 811 F.3d 542 (2d Cir. 2016). Requests must go to the</w:t>
      </w:r>
      <w:r>
        <w:t xml:space="preserve"> </w:t>
      </w:r>
      <w:r>
        <w:t xml:space="preserve">agencies that received and implemented a directive.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OLC opinions.</w:t>
      </w:r>
      <w:r>
        <w:t xml:space="preserve"> </w:t>
      </w:r>
      <w:r>
        <w:t xml:space="preserve">OLC opinions are not</w:t>
      </w:r>
      <w:r>
        <w:t xml:space="preserve"> </w:t>
      </w:r>
      <w:r>
        <w:t xml:space="preserve">“</w:t>
      </w:r>
      <w:r>
        <w:t xml:space="preserve">final dispositions</w:t>
      </w:r>
      <w:r>
        <w:t xml:space="preserve">”</w:t>
      </w:r>
      <w:r>
        <w:t xml:space="preserve"> </w:t>
      </w:r>
      <w:r>
        <w:t xml:space="preserve">or adopted</w:t>
      </w:r>
      <w:r>
        <w:t xml:space="preserve"> </w:t>
      </w:r>
      <w:r>
        <w:t xml:space="preserve">“</w:t>
      </w:r>
      <w:r>
        <w:t xml:space="preserve">statements of policy and</w:t>
      </w:r>
      <w:r>
        <w:t xml:space="preserve"> </w:t>
      </w:r>
      <w:r>
        <w:t xml:space="preserve">interpretations</w:t>
      </w:r>
      <w:r>
        <w:t xml:space="preserve">”</w:t>
      </w:r>
      <w:r>
        <w:t xml:space="preserve"> </w:t>
      </w:r>
      <w:r>
        <w:t xml:space="preserve">subject to FOIA’s affirmative reading-room provision, so they must be requested</w:t>
      </w:r>
      <w:r>
        <w:t xml:space="preserve"> </w:t>
      </w:r>
      <w:r>
        <w:t xml:space="preserve">individually and are subject to the deliberative process and other exemptions.</w:t>
      </w:r>
      <w:r>
        <w:t xml:space="preserve"> </w:t>
      </w:r>
      <w:r>
        <w:rPr>
          <w:iCs/>
          <w:i/>
        </w:rPr>
        <w:t xml:space="preserve">Campaign for</w:t>
      </w:r>
      <w:r>
        <w:rPr>
          <w:iCs/>
          <w:i/>
        </w:rPr>
        <w:t xml:space="preserve"> </w:t>
      </w:r>
      <w:r>
        <w:rPr>
          <w:iCs/>
          <w:i/>
        </w:rPr>
        <w:t xml:space="preserve">Accountability v. DOJ</w:t>
      </w:r>
      <w:r>
        <w:t xml:space="preserve">, 155 F.4th 724 (D.C. Cir. 2025). An opinion that an agency has expressly</w:t>
      </w:r>
      <w:r>
        <w:t xml:space="preserve"> </w:t>
      </w:r>
      <w:r>
        <w:t xml:space="preserve">adopted as its reasoning may lose deliberative protection under the</w:t>
      </w:r>
      <w:r>
        <w:t xml:space="preserve"> </w:t>
      </w:r>
      <w:r>
        <w:t xml:space="preserve">“</w:t>
      </w:r>
      <w:r>
        <w:t xml:space="preserve">working law</w:t>
      </w:r>
      <w:r>
        <w:t xml:space="preserve">”</w:t>
      </w:r>
      <w:r>
        <w:t xml:space="preserve"> </w:t>
      </w:r>
      <w:r>
        <w:t xml:space="preserve">doctrine.</w:t>
      </w:r>
      <w:r>
        <w:t xml:space="preserve"> </w:t>
      </w:r>
      <w:r>
        <w:rPr>
          <w:iCs/>
          <w:i/>
        </w:rPr>
        <w:t xml:space="preserve">See</w:t>
      </w:r>
      <w:r>
        <w:rPr>
          <w:iCs/>
          <w:i/>
        </w:rPr>
        <w:t xml:space="preserve"> </w:t>
      </w:r>
      <w:r>
        <w:rPr>
          <w:iCs/>
          <w:i/>
        </w:rPr>
        <w:t xml:space="preserve">Electronic Frontier Foundation v. DOJ</w:t>
      </w:r>
      <w:r>
        <w:t xml:space="preserve">, 739 F.3d 1 (D.C. Cir. 2014) (OLC opinion not adopted as FBI</w:t>
      </w:r>
      <w:r>
        <w:t xml:space="preserve"> </w:t>
      </w:r>
      <w:r>
        <w:t xml:space="preserve">working law).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Exemption 1</w:t>
      </w:r>
      <w:r>
        <w:t xml:space="preserve"> </w:t>
      </w:r>
      <w:r>
        <w:t xml:space="preserve">remains available for classified directives. The official-acknowledgment doctrine</w:t>
      </w:r>
      <w:r>
        <w:t xml:space="preserve"> </w:t>
      </w:r>
      <w:r>
        <w:t xml:space="preserve">(</w:t>
      </w:r>
      <w:hyperlink r:id="rId39">
        <w:r>
          <w:rPr>
            <w:rStyle w:val="Hyperlink"/>
          </w:rPr>
          <w:t xml:space="preserve">Issue A1</w:t>
        </w:r>
      </w:hyperlink>
      <w:r>
        <w:t xml:space="preserve">, B1) applies.</w:t>
      </w:r>
    </w:p>
    <w:bookmarkEnd w:id="40"/>
    <w:bookmarkStart w:id="41" w:name="mandatory-declassification-review"/>
    <w:p>
      <w:pPr>
        <w:pStyle w:val="Heading3"/>
      </w:pPr>
      <w:r>
        <w:t xml:space="preserve">5.2 Mandatory declassification review</w:t>
      </w:r>
    </w:p>
    <w:p>
      <w:pPr>
        <w:pStyle w:val="FirstParagraph"/>
      </w:pPr>
      <w:r>
        <w:t xml:space="preserve">Executive Order 13526 §3.5 allows any person to request declassification review of a described record,</w:t>
      </w:r>
      <w:r>
        <w:t xml:space="preserve"> </w:t>
      </w:r>
      <w:r>
        <w:t xml:space="preserve">with appeal to the Interagency Security Classification Appeals Panel. MDR reaches</w:t>
      </w:r>
      <w:r>
        <w:t xml:space="preserve"> </w:t>
      </w:r>
      <w:r>
        <w:t xml:space="preserve">“</w:t>
      </w:r>
      <w:r>
        <w:t xml:space="preserve">all information classified under this order</w:t>
      </w:r>
      <w:r>
        <w:t xml:space="preserve"> </w:t>
      </w:r>
      <w:r>
        <w:t xml:space="preserve">or predecessor orders</w:t>
      </w:r>
      <w:r>
        <w:t xml:space="preserve">”</w:t>
      </w:r>
      <w:r>
        <w:t xml:space="preserve"> </w:t>
      </w:r>
      <w:r>
        <w:t xml:space="preserve">that the requester describes with enough specificity to locate, unless it is in an</w:t>
      </w:r>
      <w:r>
        <w:t xml:space="preserve"> </w:t>
      </w:r>
      <w:r>
        <w:t xml:space="preserve">exempt operational file or is the subject of pending litigation (§3.5(a)), so classified directives are</w:t>
      </w:r>
      <w:r>
        <w:t xml:space="preserve"> </w:t>
      </w:r>
      <w:r>
        <w:t xml:space="preserve">covered. Two features matter for directives issued by or for a President. Information originated by the</w:t>
      </w:r>
      <w:r>
        <w:t xml:space="preserve"> </w:t>
      </w:r>
      <w:r>
        <w:rPr>
          <w:iCs/>
          <w:i/>
        </w:rPr>
        <w:t xml:space="preserve">incumbent</w:t>
      </w:r>
      <w:r>
        <w:t xml:space="preserve"> </w:t>
      </w:r>
      <w:r>
        <w:t xml:space="preserve">President, Vice President, their staffs, or EOP entities that solely advise the incumbent is</w:t>
      </w:r>
      <w:r>
        <w:t xml:space="preserve"> </w:t>
      </w:r>
      <w:r>
        <w:t xml:space="preserve">exempt, but the Archivist may review and declassify papers and records of</w:t>
      </w:r>
      <w:r>
        <w:t xml:space="preserve"> </w:t>
      </w:r>
      <w:r>
        <w:rPr>
          <w:iCs/>
          <w:i/>
        </w:rPr>
        <w:t xml:space="preserve">former</w:t>
      </w:r>
      <w:r>
        <w:t xml:space="preserve"> </w:t>
      </w:r>
      <w:r>
        <w:t xml:space="preserve">Presidents and Vice</w:t>
      </w:r>
      <w:r>
        <w:t xml:space="preserve"> </w:t>
      </w:r>
      <w:r>
        <w:t xml:space="preserve">Presidents held under the Presidential Records Act and related statutes, with appeal from the Archivist’s</w:t>
      </w:r>
      <w:r>
        <w:t xml:space="preserve"> </w:t>
      </w:r>
      <w:r>
        <w:t xml:space="preserve">decision to the Panel (§3.5(b)). MDR is also subject to the Glomar response: an agency</w:t>
      </w:r>
      <w:r>
        <w:t xml:space="preserve"> </w:t>
      </w:r>
      <w:r>
        <w:t xml:space="preserve">“</w:t>
      </w:r>
      <w:r>
        <w:t xml:space="preserve">may refuse to</w:t>
      </w:r>
      <w:r>
        <w:t xml:space="preserve"> </w:t>
      </w:r>
      <w:r>
        <w:t xml:space="preserve">confirm or deny the existence or nonexistence of requested records whenever the fact of their existence or</w:t>
      </w:r>
      <w:r>
        <w:t xml:space="preserve"> </w:t>
      </w:r>
      <w:r>
        <w:t xml:space="preserve">nonexistence is itself classified</w:t>
      </w:r>
      <w:r>
        <w:t xml:space="preserve">”</w:t>
      </w:r>
      <w:r>
        <w:t xml:space="preserve"> </w:t>
      </w:r>
      <w:r>
        <w:t xml:space="preserve">(§3.6(a)), and that provision applies expressly to MDR as well as FOIA.</w:t>
      </w:r>
      <w:r>
        <w:t xml:space="preserve"> </w:t>
      </w:r>
      <w:r>
        <w:t xml:space="preserve">MDR therefore offers no protection from a Glomar response; its value lies in the appeal to ISCAP. A request already reviewed</w:t>
      </w:r>
      <w:r>
        <w:t xml:space="preserve"> </w:t>
      </w:r>
      <w:r>
        <w:t xml:space="preserve">within two years may be answered by reference to the prior decision (§3.5(d)).</w:t>
      </w:r>
    </w:p>
    <w:bookmarkEnd w:id="41"/>
    <w:bookmarkStart w:id="42" w:name="congressional-channels"/>
    <w:p>
      <w:pPr>
        <w:pStyle w:val="Heading3"/>
      </w:pPr>
      <w:r>
        <w:t xml:space="preserve">5.3 Congressional channels</w:t>
      </w:r>
    </w:p>
    <w:p>
      <w:pPr>
        <w:pStyle w:val="FirstParagraph"/>
      </w:pPr>
      <w:r>
        <w:t xml:space="preserve">50 U.S.C. §3091 and §3093 require reporting of intelligence activities and covert action to the</w:t>
      </w:r>
      <w:r>
        <w:t xml:space="preserve"> </w:t>
      </w:r>
      <w:r>
        <w:t xml:space="preserve">intelligence committees; 10 U.S.C. §119 requires reports on special access programs. Members can</w:t>
      </w:r>
      <w:r>
        <w:t xml:space="preserve"> </w:t>
      </w:r>
      <w:r>
        <w:t xml:space="preserve">request directives and findings, and the committees can compel testimony. The FY2026 NDAA required</w:t>
      </w:r>
      <w:r>
        <w:t xml:space="preserve"> </w:t>
      </w:r>
      <w:r>
        <w:t xml:space="preserve">AARO to account for UAP-related security classification guides, which practitioners can use to frame</w:t>
      </w:r>
      <w:r>
        <w:t xml:space="preserve"> </w:t>
      </w:r>
      <w:r>
        <w:t xml:space="preserve">requests.</w:t>
      </w:r>
    </w:p>
    <w:bookmarkEnd w:id="42"/>
    <w:bookmarkStart w:id="43" w:name="litigation-discovery"/>
    <w:p>
      <w:pPr>
        <w:pStyle w:val="Heading3"/>
      </w:pPr>
      <w:r>
        <w:t xml:space="preserve">5.4 Litigation discovery</w:t>
      </w:r>
    </w:p>
    <w:p>
      <w:pPr>
        <w:pStyle w:val="FirstParagraph"/>
      </w:pPr>
      <w:r>
        <w:t xml:space="preserve">Civil discovery (subject to the state secrets privilege,</w:t>
      </w:r>
      <w:r>
        <w:t xml:space="preserve"> </w:t>
      </w:r>
      <w:hyperlink r:id="rId39">
        <w:r>
          <w:rPr>
            <w:rStyle w:val="Hyperlink"/>
          </w:rPr>
          <w:t xml:space="preserve">Issue A1</w:t>
        </w:r>
      </w:hyperlink>
      <w:r>
        <w:t xml:space="preserve">) and criminal discovery under CIPA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Brady</w:t>
      </w:r>
      <w:r>
        <w:t xml:space="preserve"> </w:t>
      </w:r>
      <w:r>
        <w:t xml:space="preserve">(as in</w:t>
      </w:r>
      <w:r>
        <w:t xml:space="preserve"> </w:t>
      </w:r>
      <w:r>
        <w:rPr>
          <w:iCs/>
          <w:i/>
        </w:rPr>
        <w:t xml:space="preserve">Giffen</w:t>
      </w:r>
      <w:r>
        <w:t xml:space="preserve">) can reach directives and findings that bear on claims and defenses.</w:t>
      </w:r>
    </w:p>
    <w:p>
      <w:r>
        <w:pict>
          <v:rect style="width:0;height:1.5pt" o:hralign="center" o:hrstd="t" o:hr="t"/>
        </w:pict>
      </w:r>
    </w:p>
    <w:bookmarkEnd w:id="43"/>
    <w:bookmarkEnd w:id="44"/>
    <w:bookmarkStart w:id="45" w:name="X25644c463d5bad02c6e3751a8b87e6fc06264f6"/>
    <w:p>
      <w:pPr>
        <w:pStyle w:val="Heading2"/>
      </w:pPr>
      <w:r>
        <w:t xml:space="preserve">6. How disclosure would affect secret directives</w:t>
      </w:r>
    </w:p>
    <w:p>
      <w:pPr>
        <w:pStyle w:val="Compact"/>
        <w:numPr>
          <w:ilvl w:val="0"/>
          <w:numId w:val="1004"/>
        </w:numPr>
      </w:pPr>
      <w:r>
        <w:t xml:space="preserve">A disclosure event would likely involve rescission or declassification of the governing directives.</w:t>
      </w:r>
      <w:r>
        <w:t xml:space="preserve"> </w:t>
      </w:r>
      <w:r>
        <w:t xml:space="preserve">Under EO 13526 §3.1(d), an agency head may declassify information where the public interest in</w:t>
      </w:r>
      <w:r>
        <w:t xml:space="preserve"> </w:t>
      </w:r>
      <w:r>
        <w:t xml:space="preserve">disclosure outweighs the need for protection.</w:t>
      </w:r>
    </w:p>
    <w:p>
      <w:pPr>
        <w:pStyle w:val="Compact"/>
        <w:numPr>
          <w:ilvl w:val="0"/>
          <w:numId w:val="1004"/>
        </w:numPr>
      </w:pPr>
      <w:r>
        <w:t xml:space="preserve">Once a directive is declassified, its legal effect on past conduct becomes litigable: whether it was</w:t>
      </w:r>
      <w:r>
        <w:t xml:space="preserve"> </w:t>
      </w:r>
      <w:r>
        <w:t xml:space="preserve">lawful, who acted under it, and whether reliance was reasonable.</w:t>
      </w:r>
    </w:p>
    <w:p>
      <w:pPr>
        <w:pStyle w:val="Compact"/>
        <w:numPr>
          <w:ilvl w:val="0"/>
          <w:numId w:val="1004"/>
        </w:numPr>
      </w:pPr>
      <w:r>
        <w:t xml:space="preserve">A disclosure statute should require publication of all directives governing UAP programs, with a</w:t>
      </w:r>
      <w:r>
        <w:t xml:space="preserve"> </w:t>
      </w:r>
      <w:r>
        <w:t xml:space="preserve">review board empowered to resolve disputes (as the 2023 UAP Disclosure Act proposed for records).</w:t>
      </w:r>
    </w:p>
    <w:p>
      <w:pPr>
        <w:pStyle w:val="Compact"/>
        <w:numPr>
          <w:ilvl w:val="0"/>
          <w:numId w:val="1004"/>
        </w:numPr>
      </w:pPr>
      <w:r>
        <w:t xml:space="preserve">Practitioners advising program participants should obtain, through counsel cleared for the purpose,</w:t>
      </w:r>
      <w:r>
        <w:t xml:space="preserve"> </w:t>
      </w:r>
      <w:r>
        <w:t xml:space="preserve">the text of any directive under which the client acted, before the client gives testimony to</w:t>
      </w:r>
      <w:r>
        <w:t xml:space="preserve"> </w:t>
      </w:r>
      <w:r>
        <w:t xml:space="preserve">Congress, AARO, PURSUE, or any commission.</w:t>
      </w:r>
    </w:p>
    <w:p>
      <w:r>
        <w:pict>
          <v:rect style="width:0;height:1.5pt" o:hralign="center" o:hrstd="t" o:hr="t"/>
        </w:pict>
      </w:r>
    </w:p>
    <w:bookmarkEnd w:id="45"/>
    <w:bookmarkStart w:id="46" w:name="practice-checklist"/>
    <w:p>
      <w:pPr>
        <w:pStyle w:val="Heading2"/>
      </w:pPr>
      <w:r>
        <w:t xml:space="preserve">7. Practice checklist</w:t>
      </w:r>
    </w:p>
    <w:p>
      <w:pPr>
        <w:pStyle w:val="Compact"/>
        <w:numPr>
          <w:ilvl w:val="0"/>
          <w:numId w:val="1005"/>
        </w:numPr>
      </w:pPr>
      <w:r>
        <w:t xml:space="preserve">For a program participant client: identify every instrument under which the client acted (directive,</w:t>
      </w:r>
      <w:r>
        <w:t xml:space="preserve"> </w:t>
      </w:r>
      <w:r>
        <w:t xml:space="preserve">finding, SAP indoctrination, contract clause); assess whether it could lawfully authorize the</w:t>
      </w:r>
      <w:r>
        <w:t xml:space="preserve"> </w:t>
      </w:r>
      <w:r>
        <w:t xml:space="preserve">conduct; preserve evidence of authorization; consider a Rule 12.3 notice if charged.</w:t>
      </w:r>
    </w:p>
    <w:p>
      <w:pPr>
        <w:pStyle w:val="Compact"/>
        <w:numPr>
          <w:ilvl w:val="0"/>
          <w:numId w:val="1005"/>
        </w:numPr>
      </w:pPr>
      <w:r>
        <w:t xml:space="preserve">For a requester: send FOIA requests to each implementing agency (not to the NSC); describe the</w:t>
      </w:r>
      <w:r>
        <w:t xml:space="preserve"> </w:t>
      </w:r>
      <w:r>
        <w:t xml:space="preserve">directive by number, date, subject, or series; request any OLC opinion by subject and date; file MDR</w:t>
      </w:r>
      <w:r>
        <w:t xml:space="preserve"> </w:t>
      </w:r>
      <w:r>
        <w:t xml:space="preserve">requests in parallel; cite</w:t>
      </w:r>
      <w:r>
        <w:t xml:space="preserve"> </w:t>
      </w:r>
      <w:r>
        <w:rPr>
          <w:iCs/>
          <w:i/>
        </w:rPr>
        <w:t xml:space="preserve">Center for Effective Government</w:t>
      </w:r>
      <w:r>
        <w:t xml:space="preserve"> </w:t>
      </w:r>
      <w:r>
        <w:t xml:space="preserve">against presidential communications</w:t>
      </w:r>
      <w:r>
        <w:t xml:space="preserve"> </w:t>
      </w:r>
      <w:r>
        <w:t xml:space="preserve">privilege claims.</w:t>
      </w:r>
    </w:p>
    <w:p>
      <w:pPr>
        <w:pStyle w:val="Compact"/>
        <w:numPr>
          <w:ilvl w:val="0"/>
          <w:numId w:val="1005"/>
        </w:numPr>
      </w:pPr>
      <w:r>
        <w:t xml:space="preserve">For counsel to a committee or commission: request directives, findings, SAP reports, and</w:t>
      </w:r>
      <w:r>
        <w:t xml:space="preserve"> </w:t>
      </w:r>
      <w:r>
        <w:t xml:space="preserve">classification guides under §§3091, 3093 and 10 U.S.C. §119; ask whether any directive modified or</w:t>
      </w:r>
      <w:r>
        <w:t xml:space="preserve"> </w:t>
      </w:r>
      <w:r>
        <w:t xml:space="preserve">waived a published executive order.</w:t>
      </w:r>
    </w:p>
    <w:p>
      <w:r>
        <w:pict>
          <v:rect style="width:0;height:1.5pt" o:hralign="center" o:hrstd="t" o:hr="t"/>
        </w:pict>
      </w:r>
    </w:p>
    <w:bookmarkEnd w:id="46"/>
    <w:sectPr>
      <w:headerReference w:type="default" r:id="rId9"/>
      <w:footerReference w:type="default" r:id="rId10"/>
      <w:pgSz w:h="15840" w:w="12240"/>
      <w:pgMar w:bottom="1440" w:left="1440" w:right="1440" w:top="1440" w:header="720" w:footer="57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9AA5AE"/>
      </w:pBdr>
      <w:tabs>
        <w:tab w:pos="9360" w:val="right"/>
      </w:tabs>
    </w:pPr>
    <w:r>
      <w:rPr>
        <w:rFonts w:ascii="Cambria" w:hAnsi="Cambria" w:cs="Cambria" w:eastAsia="Cambria"/>
        <w:color w:val="55606B"/>
        <w:sz w:val="17"/>
      </w:rPr>
      <w:t>Secret Executive Law and UAP Programs: Force, Limits, and Access</w:t>
    </w:r>
    <w:r>
      <w:rPr>
        <w:rFonts w:ascii="Cambria" w:hAnsi="Cambria" w:cs="Cambria" w:eastAsia="Cambria"/>
        <w:color w:val="55606B"/>
        <w:sz w:val="17"/>
      </w:rPr>
      <w:tab/>
      <w:t xml:space="preserve">Page </w:t>
    </w:r>
    <w:r>
      <w:rPr>
        <w:rFonts w:ascii="Cambria" w:hAnsi="Cambria" w:cs="Cambria" w:eastAsia="Cambria"/>
        <w:sz w:val="17"/>
      </w:rPr>
      <w:fldChar w:fldCharType="begin"/>
    </w:r>
    <w:r>
      <w:rPr>
        <w:rFonts w:ascii="Cambria" w:hAnsi="Cambria" w:cs="Cambria" w:eastAsia="Cambria"/>
        <w:sz w:val="17"/>
      </w:rPr>
      <w:instrText xml:space="preserve"> PAGE </w:instrText>
    </w:r>
    <w:r>
      <w:rPr>
        <w:rFonts w:ascii="Cambria" w:hAnsi="Cambria" w:cs="Cambria" w:eastAsia="Cambria"/>
        <w:sz w:val="17"/>
      </w:rPr>
      <w:fldChar w:fldCharType="separate"/>
    </w:r>
    <w:r>
      <w:rPr>
        <w:rFonts w:ascii="Cambria" w:hAnsi="Cambria" w:cs="Cambria" w:eastAsia="Cambria"/>
        <w:sz w:val="17"/>
      </w:rPr>
      <w:t>1</w:t>
    </w:r>
    <w:r>
      <w:rPr>
        <w:rFonts w:ascii="Cambria" w:hAnsi="Cambria" w:cs="Cambria" w:eastAsia="Cambria"/>
        <w:sz w:val="17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BodyText" w:type="paragraph">
    <w:name w:val="Body Text"/>
    <w:basedOn w:val="Normal"/>
    <w:link w:val="BodyTextChar"/>
    <w:pPr>
      <w:spacing w:after="160" w:before="0" w:line="259" w:lineRule="auto"/>
    </w:pPr>
    <w:qFormat/>
    <w:rPr>
      <w:rFonts w:ascii="Cambria" w:cs="Cambria" w:eastAsia="Cambria" w:hAnsi="Cambria"/>
      <w:color w:val="000000"/>
      <w:sz w:val="23"/>
    </w:rPr>
  </w:style>
  <w:style w:customStyle="1" w:styleId="FirstParagraph" w:type="paragraph">
    <w:name w:val="First Paragraph"/>
    <w:basedOn w:val="BodyText"/>
    <w:next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customStyle="1" w:styleId="Compact" w:type="paragraph">
    <w:name w:val="Compact"/>
    <w:basedOn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Title" w:type="paragraph">
    <w:name w:val="Title"/>
    <w:basedOn w:val="Normal"/>
    <w:next w:val="BodyText"/>
    <w:qFormat/>
    <w:pPr>
      <w:keepNext/>
      <w:keepLines/>
      <w:spacing w:after="160" w:before="480"/>
      <w:jc w:val="left"/>
    </w:pPr>
    <w:rPr>
      <w:rFonts w:ascii="Cambria" w:cs="Cambria" w:eastAsia="Cambria" w:hAnsi="Cambria"/>
      <w:b/>
      <w:bCs/>
      <w:color w:val="1A2B3C"/>
      <w:sz w:val="4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160" w:before="240"/>
      <w:jc w:val="left"/>
    </w:pPr>
    <w:rPr>
      <w:rFonts w:ascii="Cambria" w:cs="Cambria" w:eastAsia="Cambria" w:hAnsi="Cambria"/>
      <w:color w:val="1A2B3C"/>
      <w:sz w:val="22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color w:val="000000"/>
      <w:sz w:val="20"/>
      <w:szCs w:val="20"/>
      <w:rFonts w:ascii="Cambria" w:cs="Cambria" w:eastAsia="Cambria" w:hAnsi="Cambria"/>
      <w:b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mbria" w:cs="Cambria" w:eastAsia="Cambria" w:hAnsi="Cambria"/>
      <w:color w:val="000000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mbria" w:cs="Cambria" w:eastAsia="Cambria" w:hAnsi="Cambria"/>
      <w:color w:val="000000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80"/>
      <w:outlineLvl w:val="0"/>
    </w:pPr>
    <w:rPr>
      <w:rFonts w:ascii="Cambria" w:cs="Cambria" w:eastAsia="Cambria" w:hAnsi="Cambria"/>
      <w:b/>
      <w:bCs/>
      <w:i w:val="0"/>
      <w:color w:val="1A2B3C"/>
      <w:sz w:val="3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00"/>
      <w:outlineLvl w:val="1"/>
    </w:pPr>
    <w:rPr>
      <w:rFonts w:ascii="Cambria" w:cs="Cambria" w:eastAsia="Cambria" w:hAnsi="Cambria"/>
      <w:b/>
      <w:bCs/>
      <w:i w:val="0"/>
      <w:color w:val="1A2B3C"/>
      <w:sz w:val="25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00"/>
      <w:outlineLvl w:val="2"/>
    </w:pPr>
    <w:rPr>
      <w:rFonts w:ascii="Cambria" w:cs="Cambria" w:eastAsia="Cambria" w:hAnsi="Cambria"/>
      <w:b/>
      <w:bCs/>
      <w:i w:val="0"/>
      <w:color w:val="1A2B3C"/>
      <w:sz w:val="23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00"/>
      <w:outlineLvl w:val="3"/>
    </w:pPr>
    <w:rPr>
      <w:rFonts w:ascii="Cambria" w:cs="Cambria" w:eastAsia="Cambria" w:hAnsi="Cambria"/>
      <w:i w:val="0"/>
      <w:b/>
      <w:bCs/>
      <w:color w:val="1A2B3C"/>
      <w:sz w:val="23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mbria" w:cs="Cambria" w:eastAsia="Cambria" w:hAnsi="Cambria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mbria" w:cs="Cambria" w:eastAsia="Cambria" w:hAnsi="Cambria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mbria" w:cs="Cambria" w:eastAsia="Cambria" w:hAnsi="Cambria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mbria" w:cs="Cambria" w:eastAsia="Cambria" w:hAnsi="Cambria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mbria" w:cs="Cambria" w:eastAsia="Cambria" w:hAnsi="Cambria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60" w:before="0" w:line="259" w:lineRule="auto"/>
      <w:ind w:firstLine="0" w:left="720" w:right="720"/>
    </w:pPr>
    <w:rPr>
      <w:rFonts w:ascii="Cambria" w:cs="Cambria" w:eastAsia="Cambria" w:hAnsi="Cambria"/>
      <w:color w:val="000000"/>
      <w:sz w:val="23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mbria" w:cs="Cambria" w:eastAsia="Cambria" w:hAnsi="Cambria"/>
      <w:color w:val="000000"/>
    </w:rPr>
  </w:style>
  <w:style w:default="1" w:styleId="DefaultParagraphFont" w:type="character">
    <w:name w:val="Default Paragraph Font"/>
    <w:semiHidden/>
    <w:unhideWhenUsed/>
    <w:rPr>
      <w:rFonts w:ascii="Cambria" w:cs="Cambria" w:eastAsia="Cambria" w:hAnsi="Cambria"/>
      <w:color w:val="000000"/>
    </w:rPr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1A2B3C" w:space="0" w:sz="8" w:val="single"/>
        <w:bottom w:color="1A2B3C" w:space="0" w:sz="8" w:val="single"/>
        <w:insideH w:color="9AA5AE" w:space="0" w:sz="4" w:val="single"/>
      </w:tblBorders>
      <w:tblCellMar>
        <w:top w:type="dxa" w:w="0"/>
        <w:left w:type="dxa" w:w="108"/>
        <w:bottom w:type="dxa" w:w="0"/>
        <w:right w:type="dxa" w:w="108"/>
      </w:tblCellMar>
      <w:tblCellMar>
        <w:top w:type="dxa" w:w="50"/>
        <w:bottom w:type="dxa" w:w="50"/>
        <w:left w:type="dxa" w:w="80"/>
        <w:right w:type="dxa" w:w="80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mbria" w:cs="Cambria" w:eastAsia="Cambria" w:hAnsi="Cambria"/>
      <w:b/>
      <w:color w:val="000000"/>
    </w:rPr>
  </w:style>
  <w:style w:customStyle="1" w:styleId="Definition" w:type="paragraph">
    <w:name w:val="Definition"/>
    <w:basedOn w:val="Normal"/>
    <w:rPr>
      <w:rFonts w:ascii="Cambria" w:cs="Cambria" w:eastAsia="Cambria" w:hAnsi="Cambria"/>
      <w:color w:val="000000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mbria" w:cs="Cambria" w:eastAsia="Cambria" w:hAnsi="Cambria"/>
      <w:i/>
      <w:color w:val="000000"/>
    </w:rPr>
  </w:style>
  <w:style w:customStyle="1" w:styleId="TableCaption" w:type="paragraph">
    <w:name w:val="Table Caption"/>
    <w:basedOn w:val="Caption"/>
    <w:pPr>
      <w:keepNext/>
    </w:pPr>
    <w:rPr>
      <w:rFonts w:ascii="Cambria" w:cs="Cambria" w:eastAsia="Cambria" w:hAnsi="Cambria"/>
      <w:color w:val="000000"/>
    </w:rPr>
  </w:style>
  <w:style w:customStyle="1" w:styleId="ImageCaption" w:type="paragraph">
    <w:name w:val="Image Caption"/>
    <w:basedOn w:val="Caption"/>
    <w:rPr>
      <w:rFonts w:ascii="Cambria" w:cs="Cambria" w:eastAsia="Cambria" w:hAnsi="Cambria"/>
      <w:color w:val="000000"/>
    </w:rPr>
  </w:style>
  <w:style w:customStyle="1" w:styleId="Figure" w:type="paragraph">
    <w:name w:val="Figure"/>
    <w:basedOn w:val="Normal"/>
    <w:rPr>
      <w:rFonts w:ascii="Cambria" w:cs="Cambria" w:eastAsia="Cambria" w:hAnsi="Cambria"/>
      <w:color w:val="000000"/>
    </w:rPr>
  </w:style>
  <w:style w:customStyle="1" w:styleId="CaptionedFigure" w:type="paragraph">
    <w:name w:val="Captioned Figure"/>
    <w:basedOn w:val="Figure"/>
    <w:pPr>
      <w:keepNext/>
    </w:pPr>
    <w:rPr>
      <w:rFonts w:ascii="Cambria" w:cs="Cambria" w:eastAsia="Cambria" w:hAnsi="Cambria"/>
      <w:color w:val="000000"/>
    </w:rPr>
  </w:style>
  <w:style w:customStyle="1" w:styleId="BodyTextChar" w:type="character">
    <w:name w:val="Body Text Char"/>
    <w:basedOn w:val="DefaultParagraphFont"/>
    <w:link w:val="BodyText"/>
    <w:rPr>
      <w:rFonts w:ascii="Cambria" w:cs="Cambria" w:eastAsia="Cambria" w:hAnsi="Cambria"/>
      <w:color w:val="000000"/>
    </w:rPr>
  </w:style>
  <w:style w:customStyle="1" w:styleId="VerbatimChar" w:type="character">
    <w:name w:val="Verbatim Char"/>
    <w:basedOn w:val="BodyTextChar"/>
    <w:rPr>
      <w:rFonts w:ascii="Cambria" w:cs="Cambria" w:eastAsia="Cambria" w:hAnsi="Cambria"/>
      <w:color w:val="000000"/>
      <w:sz w:val="22"/>
    </w:rPr>
  </w:style>
  <w:style w:customStyle="1" w:styleId="SectionNumber" w:type="character">
    <w:name w:val="Section Number"/>
    <w:basedOn w:val="BodyTextChar"/>
    <w:rPr>
      <w:rFonts w:ascii="Cambria" w:cs="Cambria" w:eastAsia="Cambria" w:hAnsi="Cambria"/>
      <w:color w:val="000000"/>
    </w:rPr>
  </w:style>
  <w:style w:styleId="FootnoteReference" w:type="character">
    <w:name w:val="Footnote Reference"/>
    <w:basedOn w:val="BodyTextChar"/>
    <w:rPr>
      <w:rFonts w:ascii="Cambria" w:cs="Cambria" w:eastAsia="Cambria" w:hAnsi="Cambria"/>
      <w:color w:val="000000"/>
      <w:vertAlign w:val="superscript"/>
    </w:rPr>
  </w:style>
  <w:style w:styleId="Hyperlink" w:type="character">
    <w:name w:val="Hyperlink"/>
    <w:basedOn w:val="BodyTextChar"/>
    <w:rPr>
      <w:rFonts w:ascii="Cambria" w:cs="Cambria" w:eastAsia="Cambria" w:hAnsi="Cambria"/>
      <w:color w:val="1F6E6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mbria" w:cs="Cambria" w:eastAsia="Cambria" w:hAnsi="Cambria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0" Type="http://schemas.openxmlformats.org/officeDocument/2006/relationships/hyperlink" Target="https://emergentfrontiers.com" TargetMode="External"/><Relationship Id="rId23" Type="http://schemas.openxmlformats.org/officeDocument/2006/relationships/hyperlink" Target="https://nhilaw.com/forms/a2-1.html" TargetMode="External"/><Relationship Id="rId39" Type="http://schemas.openxmlformats.org/officeDocument/2006/relationships/hyperlink" Target="https://nhilaw.com/issues/a1.html" TargetMode="External"/><Relationship Id="rId35" Type="http://schemas.openxmlformats.org/officeDocument/2006/relationships/hyperlink" Target="https://nhilaw.com/issues/b3.html" TargetMode="External"/><Relationship Id="rId27" Type="http://schemas.openxmlformats.org/officeDocument/2006/relationships/hyperlink" Target="https://nhilaw.com/issues/d1.html" TargetMode="External"/><Relationship Id="rId30" Type="http://schemas.openxmlformats.org/officeDocument/2006/relationships/hyperlink" Target="https://nhilaw.com/issues/d3.html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0" Type="http://schemas.openxmlformats.org/officeDocument/2006/relationships/hyperlink" Target="https://emergentfrontiers.com" TargetMode="External"/><Relationship Id="rId23" Type="http://schemas.openxmlformats.org/officeDocument/2006/relationships/hyperlink" Target="https://nhilaw.com/forms/a2-1.html" TargetMode="External"/><Relationship Id="rId39" Type="http://schemas.openxmlformats.org/officeDocument/2006/relationships/hyperlink" Target="https://nhilaw.com/issues/a1.html" TargetMode="External"/><Relationship Id="rId35" Type="http://schemas.openxmlformats.org/officeDocument/2006/relationships/hyperlink" Target="https://nhilaw.com/issues/b3.html" TargetMode="External"/><Relationship Id="rId27" Type="http://schemas.openxmlformats.org/officeDocument/2006/relationships/hyperlink" Target="https://nhilaw.com/issues/d1.html" TargetMode="External"/><Relationship Id="rId30" Type="http://schemas.openxmlformats.org/officeDocument/2006/relationships/hyperlink" Target="https://nhilaw.com/issues/d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Secret Executive Law and UAP Programs: Force, Limits, and Access</dc:title>
  <dc:creator>nhilaw.com</dc:creator>
  <cp:keywords/>
  <dcterms:created xsi:type="dcterms:W3CDTF">2026-10-19T03:11:44Z</dcterms:created>
  <dcterms:modified xsi:type="dcterms:W3CDTF">2026-10-19T03:11:44Z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Version 1.10 · October 2026 · nhilaw.com/issues/a2.html</vt:lpwstr>
  </property>
</Properties>
</file>