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0" w:name="X16ad2293933452d6ed9d1994e841daa17b781a6"/>
    <w:p>
      <w:pPr>
        <w:pStyle w:val="Heading1"/>
      </w:pPr>
      <w:r>
        <w:t xml:space="preserve">Form A3-1. Complaint to Compel Compliance with the UAP Records Collection Provisions (APA) and for Release of Records (FOIA)</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https://nhilaw.com/forms/a3-1.html</w:t>
      </w:r>
    </w:p>
    <w:p>
      <w:pPr>
        <w:pStyle w:val="BodyText"/>
        <w:spacing w:after="160" w:line="259" w:lineRule="auto"/>
      </w:pPr>
      <w:r>
        <w:rPr>
          <w:bCs/>
          <w:b/>
        </w:rPr>
        <w:t xml:space="preserve">Use.</w:t>
      </w:r>
      <w:r>
        <w:t xml:space="preserve"> </w:t>
      </w:r>
      <w:r>
        <w:t xml:space="preserve">A requester has (1) submitted a FOIA request for specified UAP records and exhausted or</w:t>
      </w:r>
      <w:r>
        <w:t xml:space="preserve"> </w:t>
      </w:r>
      <w:r>
        <w:t xml:space="preserve">constructively exhausted administrative remedies, and (2) identified specific, mandatory duties under</w:t>
      </w:r>
      <w:r>
        <w:t xml:space="preserve"> </w:t>
      </w:r>
      <w:r>
        <w:t xml:space="preserve">FY2024 NDAA §§1841-1843 that the agency has not performed. The complaint pairs a FOIA count (express</w:t>
      </w:r>
      <w:r>
        <w:t xml:space="preserve"> </w:t>
      </w:r>
      <w:r>
        <w:t xml:space="preserve">cause of action, de novo review) with narrow APA §706(1) and §706(2) counts aimed at discrete statutory</w:t>
      </w:r>
      <w:r>
        <w:t xml:space="preserve"> </w:t>
      </w:r>
      <w:r>
        <w:t xml:space="preserve">duties, which is the framing the JFK Act decisions require.</w:t>
      </w:r>
      <w:r>
        <w:t xml:space="preserve"> </w:t>
      </w:r>
      <w:r>
        <w:rPr>
          <w:iCs/>
          <w:i/>
        </w:rPr>
        <w:t xml:space="preserve">See Mary Ferrell Found. v. Biden</w:t>
      </w:r>
      <w:r>
        <w:t xml:space="preserve">, 2024 WL</w:t>
      </w:r>
      <w:r>
        <w:t xml:space="preserve"> </w:t>
      </w:r>
      <w:r>
        <w:t xml:space="preserve">4880527 (9th Cir. Nov. 25, 2024);</w:t>
      </w:r>
      <w:r>
        <w:t xml:space="preserve"> </w:t>
      </w:r>
      <w:r>
        <w:rPr>
          <w:iCs/>
          <w:i/>
        </w:rPr>
        <w:t xml:space="preserve">Mary Ferrell Found. v. NARA</w:t>
      </w:r>
      <w:r>
        <w:t xml:space="preserve">, 2026 WL 412367 (N.D. Cal. Feb. 13,</w:t>
      </w:r>
      <w:r>
        <w:t xml:space="preserve"> </w:t>
      </w:r>
      <w:r>
        <w:t xml:space="preserve">2026);</w:t>
      </w:r>
      <w:r>
        <w:t xml:space="preserve"> </w:t>
      </w:r>
      <w:r>
        <w:rPr>
          <w:iCs/>
          <w:i/>
        </w:rPr>
        <w:t xml:space="preserve">Norton v. S. Utah Wilderness All.</w:t>
      </w:r>
      <w:r>
        <w:t xml:space="preserve">, 542 U.S. 55, 64 (2004). Do not name the President.</w:t>
      </w:r>
    </w:p>
    <w:p>
      <w:pPr>
        <w:pStyle w:val="BodyText"/>
        <w:spacing w:after="160" w:line="259" w:lineRule="auto"/>
      </w:pPr>
      <w:r>
        <w:rPr>
          <w:bCs/>
          <w:b/>
        </w:rPr>
        <w:t xml:space="preserve">When to use.</w:t>
      </w:r>
      <w:r>
        <w:t xml:space="preserve"> </w:t>
      </w:r>
      <w:r>
        <w:t xml:space="preserve">An agency has not searched for, transmitted, or released UAP records under the Records Collection provisions, or has not answered a FOIA request.</w:t>
      </w:r>
      <w:r>
        <w:t xml:space="preserve"> </w:t>
      </w:r>
      <w:r>
        <w:rPr>
          <w:bCs/>
          <w:b/>
        </w:rPr>
        <w:t xml:space="preserve">Not for:</w:t>
      </w:r>
      <w:r>
        <w:t xml:space="preserve"> </w:t>
      </w:r>
      <w:r>
        <w:t xml:space="preserve">Records held only by a contractor with no agency control.</w:t>
      </w:r>
    </w:p>
    <w:p>
      <w:pPr>
        <w:pStyle w:val="BodyText"/>
        <w:spacing w:after="160" w:line="259" w:lineRule="auto"/>
      </w:pPr>
      <w:r>
        <w:rPr>
          <w:bCs/>
          <w:b/>
        </w:rPr>
        <w:t xml:space="preserve">Deadlines.</w:t>
      </w:r>
      <w:r>
        <w:t xml:space="preserve"> </w:t>
      </w:r>
      <w:r>
        <w:t xml:space="preserve">FOIA suit after the agency misses its 20-working-day deadline (constructive exhaustion) or after an appeal is denied. APA claims within six years (28 U.S.C. §2401(a)).</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spacing w:lineRule="exact" w:line="240" w:before="0" w:after="0"/>
        <w:jc w:val="center"/>
      </w:pPr>
      <w:r>
        <w:rPr>
          <w:rFonts w:ascii="Times New Roman" w:hAnsi="Times New Roman" w:cs="Times New Roman" w:eastAsia="Times New Roman"/>
          <w:b/>
          <w:sz w:val="24"/>
        </w:rPr>
        <w:t>UNITED STATES DISTRICT COURT</w:t>
      </w:r>
    </w:p>
    <w:p>
      <w:pPr>
        <w:spacing w:lineRule="exact" w:line="240" w:before="0" w:after="0"/>
        <w:jc w:val="center"/>
      </w:pPr>
      <w:r>
        <w:rPr>
          <w:rFonts w:ascii="Times New Roman" w:hAnsi="Times New Roman" w:cs="Times New Roman" w:eastAsia="Times New Roman"/>
          <w:b/>
          <w:sz w:val="24"/>
        </w:rPr>
        <w:t>FOR THE DISTRICT OF COLUMBIA</w:t>
      </w:r>
    </w:p>
    <w:p>
      <w:pPr>
        <w:spacing w:lineRule="exact" w:line="240" w:before="0" w:after="0"/>
      </w:pPr>
    </w:p>
    <w:tbl>
      <w:tblPr>
        <w:tblW w:type="auto" w:w="0"/>
        <w:jc w:val="left"/>
        <w:tblLayout w:type="fixed"/>
        <w:tblLook w:firstColumn="1" w:firstRow="1" w:lastColumn="0" w:lastRow="0" w:noHBand="0" w:noVBand="1" w:val="04A0"/>
      </w:tblPr>
      <w:tblGrid>
        <w:gridCol w:w="4680"/>
        <w:gridCol w:w="4680"/>
      </w:tblGrid>
      <w:tr>
        <w:tc>
          <w:tcPr>
            <w:tcW w:type="dxa" w:w="4824"/>
            <w:tcBorders>
              <w:right w:val="single" w:sz="4" w:color="000000"/>
              <w:bottom w:val="single" w:sz="4" w:color="000000"/>
            </w:tcBorders>
            <w:tcMar>
              <w:top w:w="0" w:type="dxa"/>
              <w:bottom w:w="0" w:type="dxa"/>
              <w:left w:w="0" w:type="dxa"/>
              <w:right w:w="100" w:type="dxa"/>
            </w:tcMar>
          </w:tcPr>
          <w:p>
            <w:pPr>
              <w:spacing w:lineRule="exact" w:line="240" w:before="0" w:after="0"/>
            </w:pPr>
            <w:r>
              <w:rPr>
                <w:rFonts w:ascii="Times New Roman" w:hAnsi="Times New Roman" w:cs="Times New Roman" w:eastAsia="Times New Roman"/>
                <w:b w:val="0"/>
                <w:sz w:val="24"/>
              </w:rPr>
              <w:t>[PLAINTIFF],</w:t>
            </w:r>
          </w:p>
          <w:p>
            <w:pPr>
              <w:spacing w:lineRule="exact" w:line="240" w:before="0" w:after="0"/>
            </w:pPr>
            <w:r>
              <w:rPr>
                <w:rFonts w:ascii="Times New Roman" w:hAnsi="Times New Roman" w:cs="Times New Roman" w:eastAsia="Times New Roman"/>
                <w:b w:val="0"/>
                <w:sz w:val="24"/>
              </w:rPr>
              <w:t>[address],</w:t>
            </w:r>
          </w:p>
          <w:p>
            <w:pPr>
              <w:spacing w:lineRule="exact" w:line="240" w:before="0" w:after="0"/>
              <w:ind w:left="2160"/>
            </w:pPr>
            <w:r>
              <w:rPr>
                <w:rFonts w:ascii="Times New Roman" w:hAnsi="Times New Roman" w:cs="Times New Roman" w:eastAsia="Times New Roman"/>
                <w:b w:val="0"/>
                <w:sz w:val="24"/>
              </w:rPr>
              <w:t>Plaintiff,</w:t>
            </w:r>
          </w:p>
          <w:p>
            <w:pPr>
              <w:spacing w:lineRule="exact" w:line="240" w:before="0" w:after="0"/>
            </w:pPr>
          </w:p>
          <w:p>
            <w:pPr>
              <w:spacing w:lineRule="exact" w:line="240" w:before="0" w:after="0"/>
            </w:pPr>
            <w:r>
              <w:rPr>
                <w:rFonts w:ascii="Times New Roman" w:hAnsi="Times New Roman" w:cs="Times New Roman" w:eastAsia="Times New Roman"/>
                <w:b w:val="0"/>
                <w:sz w:val="24"/>
              </w:rPr>
              <w:t>v.</w:t>
            </w:r>
          </w:p>
          <w:p>
            <w:pPr>
              <w:spacing w:lineRule="exact" w:line="240" w:before="0" w:after="0"/>
            </w:pPr>
          </w:p>
          <w:p>
            <w:pPr>
              <w:spacing w:lineRule="exact" w:line="240" w:before="0" w:after="0"/>
            </w:pPr>
            <w:r>
              <w:rPr>
                <w:rFonts w:ascii="Times New Roman" w:hAnsi="Times New Roman" w:cs="Times New Roman" w:eastAsia="Times New Roman"/>
                <w:b w:val="0"/>
                <w:sz w:val="24"/>
              </w:rPr>
              <w:t>[DEPARTMENT OF WAR / AGENCY],</w:t>
            </w:r>
          </w:p>
          <w:p>
            <w:pPr>
              <w:spacing w:lineRule="exact" w:line="240" w:before="0" w:after="0"/>
            </w:pPr>
            <w:r>
              <w:rPr>
                <w:rFonts w:ascii="Times New Roman" w:hAnsi="Times New Roman" w:cs="Times New Roman" w:eastAsia="Times New Roman"/>
                <w:b w:val="0"/>
                <w:sz w:val="24"/>
              </w:rPr>
              <w:t>[address],</w:t>
            </w:r>
          </w:p>
          <w:p>
            <w:pPr>
              <w:spacing w:lineRule="exact" w:line="240" w:before="0" w:after="0"/>
            </w:pPr>
          </w:p>
          <w:p>
            <w:pPr>
              <w:spacing w:lineRule="exact" w:line="240" w:before="0" w:after="0"/>
            </w:pPr>
            <w:r>
              <w:rPr>
                <w:rFonts w:ascii="Times New Roman" w:hAnsi="Times New Roman" w:cs="Times New Roman" w:eastAsia="Times New Roman"/>
                <w:b w:val="0"/>
                <w:sz w:val="24"/>
              </w:rPr>
              <w:t>and</w:t>
            </w:r>
          </w:p>
          <w:p>
            <w:pPr>
              <w:spacing w:lineRule="exact" w:line="240" w:before="0" w:after="0"/>
            </w:pPr>
          </w:p>
          <w:p>
            <w:pPr>
              <w:spacing w:lineRule="exact" w:line="240" w:before="0" w:after="0"/>
            </w:pPr>
            <w:r>
              <w:rPr>
                <w:rFonts w:ascii="Times New Roman" w:hAnsi="Times New Roman" w:cs="Times New Roman" w:eastAsia="Times New Roman"/>
                <w:b w:val="0"/>
                <w:sz w:val="24"/>
              </w:rPr>
              <w:t>NATIONAL ARCHIVES AND RECORDS</w:t>
            </w:r>
          </w:p>
          <w:p>
            <w:pPr>
              <w:spacing w:lineRule="exact" w:line="240" w:before="0" w:after="0"/>
            </w:pPr>
            <w:r>
              <w:rPr>
                <w:rFonts w:ascii="Times New Roman" w:hAnsi="Times New Roman" w:cs="Times New Roman" w:eastAsia="Times New Roman"/>
                <w:b w:val="0"/>
                <w:sz w:val="24"/>
              </w:rPr>
              <w:t>ADMINISTRATION,</w:t>
            </w:r>
          </w:p>
          <w:p>
            <w:pPr>
              <w:spacing w:lineRule="exact" w:line="240" w:before="0" w:after="0"/>
            </w:pPr>
            <w:r>
              <w:rPr>
                <w:rFonts w:ascii="Times New Roman" w:hAnsi="Times New Roman" w:cs="Times New Roman" w:eastAsia="Times New Roman"/>
                <w:b w:val="0"/>
                <w:sz w:val="24"/>
              </w:rPr>
              <w:t>[address],</w:t>
            </w:r>
          </w:p>
          <w:p>
            <w:pPr>
              <w:spacing w:lineRule="exact" w:line="240" w:before="0" w:after="0"/>
              <w:ind w:left="2160"/>
            </w:pPr>
            <w:r>
              <w:rPr>
                <w:rFonts w:ascii="Times New Roman" w:hAnsi="Times New Roman" w:cs="Times New Roman" w:eastAsia="Times New Roman"/>
                <w:b w:val="0"/>
                <w:sz w:val="24"/>
              </w:rPr>
              <w:t>Defendants.</w:t>
            </w:r>
          </w:p>
          <w:p>
            <w:pPr>
              <w:spacing w:lineRule="exact" w:line="240" w:before="0" w:after="0"/>
            </w:pPr>
          </w:p>
          <w:p>
            <w:pPr>
              <w:spacing w:lineRule="exact" w:line="240" w:before="0" w:after="0"/>
            </w:pPr>
          </w:p>
        </w:tc>
        <w:tc>
          <w:tcPr>
            <w:tcW w:type="dxa" w:w="4392"/>
            <w:tcMar>
              <w:top w:w="0" w:type="dxa"/>
              <w:bottom w:w="0" w:type="dxa"/>
              <w:left w:w="160" w:type="dxa"/>
              <w:right w:w="100" w:type="dxa"/>
            </w:tcMar>
          </w:tcPr>
          <w:p>
            <w:pPr>
              <w:spacing w:lineRule="exact" w:line="240" w:before="0" w:after="0"/>
            </w:pPr>
            <w:r>
              <w:rPr>
                <w:rFonts w:ascii="Times New Roman" w:hAnsi="Times New Roman" w:cs="Times New Roman" w:eastAsia="Times New Roman"/>
                <w:b w:val="0"/>
                <w:sz w:val="24"/>
              </w:rPr>
              <w:t>Civil Action No.</w:t>
            </w:r>
          </w:p>
          <w:p>
            <w:pPr>
              <w:spacing w:lineRule="exact" w:line="240" w:before="0" w:after="0"/>
            </w:pPr>
            <w:r>
              <w:rPr>
                <w:rFonts w:ascii="Times New Roman" w:hAnsi="Times New Roman" w:cs="Times New Roman" w:eastAsia="Times New Roman"/>
                <w:b w:val="0"/>
                <w:sz w:val="24"/>
              </w:rPr>
              <w:t>[__________]</w:t>
            </w:r>
          </w:p>
          <w:p>
            <w:pPr>
              <w:spacing w:lineRule="exact" w:line="240" w:before="0" w:after="0"/>
            </w:pPr>
          </w:p>
          <w:p>
            <w:pPr>
              <w:spacing w:lineRule="exact" w:line="240" w:before="0" w:after="0"/>
            </w:pPr>
            <w:r>
              <w:rPr>
                <w:rFonts w:ascii="Times New Roman" w:hAnsi="Times New Roman" w:cs="Times New Roman" w:eastAsia="Times New Roman"/>
                <w:b/>
                <w:sz w:val="24"/>
              </w:rPr>
              <w:t>COMPLAINT FOR</w:t>
            </w:r>
          </w:p>
          <w:p>
            <w:pPr>
              <w:spacing w:lineRule="exact" w:line="240" w:before="0" w:after="0"/>
            </w:pPr>
            <w:r>
              <w:rPr>
                <w:rFonts w:ascii="Times New Roman" w:hAnsi="Times New Roman" w:cs="Times New Roman" w:eastAsia="Times New Roman"/>
                <w:b/>
                <w:sz w:val="24"/>
              </w:rPr>
              <w:t>DECLARATORY AND</w:t>
            </w:r>
          </w:p>
          <w:p>
            <w:pPr>
              <w:spacing w:lineRule="exact" w:line="240" w:before="0" w:after="0"/>
            </w:pPr>
            <w:r>
              <w:rPr>
                <w:rFonts w:ascii="Times New Roman" w:hAnsi="Times New Roman" w:cs="Times New Roman" w:eastAsia="Times New Roman"/>
                <w:b/>
                <w:sz w:val="24"/>
              </w:rPr>
              <w:t>INJUNCTIVE RELIEF</w:t>
            </w: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tc>
      </w:tr>
    </w:tbl>
    <w:p>
      <w:pPr>
        <w:spacing w:lineRule="exact" w:line="240" w:before="0" w:after="0"/>
      </w:pPr>
    </w:p>
    <w:p>
      <w:pPr>
        <w:spacing w:lineRule="exact" w:line="240" w:before="0" w:after="0"/>
      </w:pPr>
    </w:p>
    <w:p>
      <w:pPr>
        <w:pStyle w:val="BodyText"/>
        <w:keepNext/>
        <w:spacing w:lineRule="exact" w:line="480" w:before="0" w:after="0"/>
        <w:jc w:val="center"/>
      </w:pPr>
      <w:r>
        <w:rPr>
          <w:bCs/>
          <w:b/>
        </w:rPr>
        <w:t xml:space="preserve">INTRODUCTION</w:t>
      </w:r>
    </w:p>
    <w:p>
      <w:pPr>
        <w:numPr>
          <w:ilvl w:val="0"/>
          <w:numId w:val="1001"/>
        </w:numPr>
        <w:spacing w:lineRule="exact" w:line="480" w:before="0" w:after="0"/>
      </w:pPr>
      <w:r>
        <w:t xml:space="preserve">Congress has directed every federal office to identify its records relating to unidentified</w:t>
      </w:r>
      <w:r>
        <w:t xml:space="preserve"> </w:t>
      </w:r>
      <w:r>
        <w:t xml:space="preserve">anomalous phenomena (</w:t>
      </w:r>
      <w:r>
        <w:t xml:space="preserve">“</w:t>
      </w:r>
      <w:r>
        <w:t xml:space="preserve">UAP</w:t>
      </w:r>
      <w:r>
        <w:t xml:space="preserve">”</w:t>
      </w:r>
      <w:r>
        <w:t xml:space="preserve">), to transmit them to a UAP Records Collection at the National Archives, and</w:t>
      </w:r>
      <w:r>
        <w:t xml:space="preserve"> </w:t>
      </w:r>
      <w:r>
        <w:t xml:space="preserve">to make them public unless the original classification authority finds, by clear and convincing</w:t>
      </w:r>
      <w:r>
        <w:t xml:space="preserve"> </w:t>
      </w:r>
      <w:r>
        <w:t xml:space="preserve">evidence, that one of four narrow grounds for postponement applies. National Defense Authorization Act</w:t>
      </w:r>
      <w:r>
        <w:t xml:space="preserve"> </w:t>
      </w:r>
      <w:r>
        <w:t xml:space="preserve">for Fiscal Year 2024, Pub. L. No. 118-31, §§1841-1843, 137 Stat. 136, 699-706 (2023) (44 U.S.C. §2107</w:t>
      </w:r>
      <w:r>
        <w:t xml:space="preserve"> </w:t>
      </w:r>
      <w:r>
        <w:t xml:space="preserve">note) (the</w:t>
      </w:r>
      <w:r>
        <w:t xml:space="preserve"> </w:t>
      </w:r>
      <w:r>
        <w:t xml:space="preserve">“</w:t>
      </w:r>
      <w:r>
        <w:t xml:space="preserve">Records Collection provisions</w:t>
      </w:r>
      <w:r>
        <w:t xml:space="preserve">”</w:t>
      </w:r>
      <w:r>
        <w:t xml:space="preserve">).</w:t>
      </w:r>
    </w:p>
    <w:p>
      <w:pPr>
        <w:numPr>
          <w:ilvl w:val="0"/>
          <w:numId w:val="1001"/>
        </w:numPr>
        <w:spacing w:lineRule="exact" w:line="480" w:before="0" w:after="0"/>
      </w:pPr>
      <w:r>
        <w:t xml:space="preserve">Congress also commanded that no UAP record created outside the federal government be withheld or</w:t>
      </w:r>
      <w:r>
        <w:t xml:space="preserve"> </w:t>
      </w:r>
      <w:r>
        <w:t xml:space="preserve">redacted (except for protected names), that no record already made public be withheld again, that each</w:t>
      </w:r>
      <w:r>
        <w:t xml:space="preserve"> </w:t>
      </w:r>
      <w:r>
        <w:t xml:space="preserve">continued postponement be explained in an unclassified written description published in the Federal</w:t>
      </w:r>
      <w:r>
        <w:t xml:space="preserve"> </w:t>
      </w:r>
      <w:r>
        <w:t xml:space="preserve">Register, and that every UAP record be disclosed in full within 25 years of its creation unless the</w:t>
      </w:r>
      <w:r>
        <w:t xml:space="preserve"> </w:t>
      </w:r>
      <w:r>
        <w:t xml:space="preserve">President certifies otherwise.</w:t>
      </w:r>
      <w:r>
        <w:t xml:space="preserve"> </w:t>
      </w:r>
      <w:r>
        <w:rPr>
          <w:iCs/>
          <w:i/>
        </w:rPr>
        <w:t xml:space="preserve">Id.</w:t>
      </w:r>
      <w:r>
        <w:t xml:space="preserve"> </w:t>
      </w:r>
      <w:r>
        <w:t xml:space="preserve">§§1842(a)(2), 1842(g)(2).</w:t>
      </w:r>
    </w:p>
    <w:p>
      <w:pPr>
        <w:numPr>
          <w:ilvl w:val="0"/>
          <w:numId w:val="1001"/>
        </w:numPr>
        <w:spacing w:lineRule="exact" w:line="480" w:before="0" w:after="0"/>
      </w:pPr>
      <w:r>
        <w:t xml:space="preserve">[Defendant agency] has not complied with these discrete, mandatory duties with respect to the records</w:t>
      </w:r>
      <w:r>
        <w:t xml:space="preserve"> </w:t>
      </w:r>
      <w:r>
        <w:t xml:space="preserve">described below, and it has unlawfully withheld the same records in response to Plaintiff’s request</w:t>
      </w:r>
      <w:r>
        <w:t xml:space="preserve"> </w:t>
      </w:r>
      <w:r>
        <w:t xml:space="preserve">under the Freedom of Information Act, 5 U.S.C. §552.</w:t>
      </w:r>
    </w:p>
    <w:p>
      <w:pPr>
        <w:pStyle w:val="FirstParagraph"/>
        <w:keepNext/>
        <w:spacing w:lineRule="exact" w:line="480" w:before="0" w:after="0"/>
        <w:jc w:val="center"/>
      </w:pPr>
      <w:r>
        <w:rPr>
          <w:bCs/>
          <w:b/>
        </w:rPr>
        <w:t xml:space="preserve">JURISDICTION AND VENUE</w:t>
      </w:r>
    </w:p>
    <w:p>
      <w:pPr>
        <w:numPr>
          <w:ilvl w:val="0"/>
          <w:numId w:val="1002"/>
        </w:numPr>
        <w:spacing w:lineRule="exact" w:line="480" w:before="0" w:after="0"/>
      </w:pPr>
      <w:r>
        <w:t xml:space="preserve">This Court has jurisdiction under 28 U.S.C. §1331 and 5 U.S.C. §552(a)(4)(B). The Administrative</w:t>
      </w:r>
      <w:r>
        <w:t xml:space="preserve"> </w:t>
      </w:r>
      <w:r>
        <w:t xml:space="preserve">Procedure Act, 5 U.S.C. §§702, 706, waives sovereign immunity for the non-monetary relief sought.</w:t>
      </w:r>
    </w:p>
    <w:p>
      <w:pPr>
        <w:numPr>
          <w:ilvl w:val="0"/>
          <w:numId w:val="1002"/>
        </w:numPr>
        <w:spacing w:lineRule="exact" w:line="480" w:before="0" w:after="0"/>
      </w:pPr>
      <w:r>
        <w:t xml:space="preserve">Venue is proper under 5 U.S.C. §552(a)(4)(B) and 28 U.S.C. §1391(e).</w:t>
      </w:r>
    </w:p>
    <w:p>
      <w:pPr>
        <w:pStyle w:val="FirstParagraph"/>
        <w:keepNext/>
        <w:spacing w:lineRule="exact" w:line="480" w:before="0" w:after="0"/>
        <w:jc w:val="center"/>
      </w:pPr>
      <w:r>
        <w:rPr>
          <w:bCs/>
          <w:b/>
        </w:rPr>
        <w:t xml:space="preserve">PARTIES</w:t>
      </w:r>
    </w:p>
    <w:p>
      <w:pPr>
        <w:numPr>
          <w:ilvl w:val="0"/>
          <w:numId w:val="1003"/>
        </w:numPr>
        <w:spacing w:lineRule="exact" w:line="480" w:before="0" w:after="0"/>
      </w:pPr>
      <w:r>
        <w:t xml:space="preserve">Plaintiff [name] is [description: journalist / researcher / nonprofit], which [gathers and</w:t>
      </w:r>
      <w:r>
        <w:t xml:space="preserve"> </w:t>
      </w:r>
      <w:r>
        <w:t xml:space="preserve">publishes information about UAP; describe use of records]. [Facts supporting informational injury and</w:t>
      </w:r>
      <w:r>
        <w:t xml:space="preserve"> </w:t>
      </w:r>
      <w:r>
        <w:t xml:space="preserve">standing.]</w:t>
      </w:r>
    </w:p>
    <w:p>
      <w:pPr>
        <w:numPr>
          <w:ilvl w:val="0"/>
          <w:numId w:val="1003"/>
        </w:numPr>
        <w:spacing w:lineRule="exact" w:line="480" w:before="0" w:after="0"/>
      </w:pPr>
      <w:r>
        <w:t xml:space="preserve">Defendant [agency] is an agency within the meaning of 5 U.S.C. §§551(1) and 552(f)(1) and a</w:t>
      </w:r>
      <w:r>
        <w:t xml:space="preserve"> </w:t>
      </w:r>
      <w:r>
        <w:t xml:space="preserve">“</w:t>
      </w:r>
      <w:r>
        <w:t xml:space="preserve">Government office</w:t>
      </w:r>
      <w:r>
        <w:t xml:space="preserve">”</w:t>
      </w:r>
      <w:r>
        <w:t xml:space="preserve"> </w:t>
      </w:r>
      <w:r>
        <w:t xml:space="preserve">within the meaning of the Records Collection provisions. It has possession, custody,</w:t>
      </w:r>
      <w:r>
        <w:t xml:space="preserve"> </w:t>
      </w:r>
      <w:r>
        <w:t xml:space="preserve">or control of the records at issue.</w:t>
      </w:r>
    </w:p>
    <w:p>
      <w:pPr>
        <w:numPr>
          <w:ilvl w:val="0"/>
          <w:numId w:val="1003"/>
        </w:numPr>
        <w:spacing w:lineRule="exact" w:line="480" w:before="0" w:after="0"/>
      </w:pPr>
      <w:r>
        <w:t xml:space="preserve">Defendant National Archives and Records Administration (</w:t>
      </w:r>
      <w:r>
        <w:t xml:space="preserve">“</w:t>
      </w:r>
      <w:r>
        <w:t xml:space="preserve">NARA</w:t>
      </w:r>
      <w:r>
        <w:t xml:space="preserve">”</w:t>
      </w:r>
      <w:r>
        <w:t xml:space="preserve">) is an agency within the meaning of 5</w:t>
      </w:r>
      <w:r>
        <w:t xml:space="preserve"> </w:t>
      </w:r>
      <w:r>
        <w:t xml:space="preserve">U.S.C. §551(1) and administers the UAP Records Collection (Record Group 615).</w:t>
      </w:r>
    </w:p>
    <w:p>
      <w:pPr>
        <w:pStyle w:val="FirstParagraph"/>
        <w:keepNext/>
        <w:spacing w:lineRule="exact" w:line="480" w:before="0" w:after="0"/>
        <w:jc w:val="center"/>
      </w:pPr>
      <w:r>
        <w:rPr>
          <w:bCs/>
          <w:b/>
        </w:rPr>
        <w:t xml:space="preserve">STATUTORY BACKGROUND</w:t>
      </w:r>
    </w:p>
    <w:p>
      <w:pPr>
        <w:numPr>
          <w:ilvl w:val="0"/>
          <w:numId w:val="1004"/>
        </w:numPr>
        <w:spacing w:lineRule="exact" w:line="480" w:before="0" w:after="0"/>
      </w:pPr>
      <w:r>
        <w:t xml:space="preserve">The UAP Records Collection consists of</w:t>
      </w:r>
      <w:r>
        <w:t xml:space="preserve"> </w:t>
      </w:r>
      <w:r>
        <w:t xml:space="preserve">“</w:t>
      </w:r>
      <w:r>
        <w:t xml:space="preserve">record copies of all Government, Government-provided, or</w:t>
      </w:r>
      <w:r>
        <w:t xml:space="preserve"> </w:t>
      </w:r>
      <w:r>
        <w:t xml:space="preserve">Government-funded records relating to unidentified anomalous phenomena, technologies of unknown origin, and</w:t>
      </w:r>
      <w:r>
        <w:t xml:space="preserve"> </w:t>
      </w:r>
      <w:r>
        <w:t xml:space="preserve">non-human intelligence (or equivalent subjects by any other name with the specific and sole exclusion of</w:t>
      </w:r>
      <w:r>
        <w:t xml:space="preserve"> </w:t>
      </w:r>
      <w:r>
        <w:t xml:space="preserve">temporarily non-attributed objects).</w:t>
      </w:r>
      <w:r>
        <w:t xml:space="preserve">”</w:t>
      </w:r>
      <w:r>
        <w:t xml:space="preserve"> </w:t>
      </w:r>
      <w:r>
        <w:t xml:space="preserve">§1841(a)(1)(C). Each head of a Government office must identify and organize</w:t>
      </w:r>
      <w:r>
        <w:t xml:space="preserve"> </w:t>
      </w:r>
      <w:r>
        <w:t xml:space="preserve">UAP records and prepare them for transmission (§1842(a)(1)), and must review them for public disclosure and</w:t>
      </w:r>
      <w:r>
        <w:t xml:space="preserve"> </w:t>
      </w:r>
      <w:r>
        <w:t xml:space="preserve">transmission within 300 days of enactment (§1842(c)(1)). No UAP record may be destroyed, altered, or mutilated; no</w:t>
      </w:r>
      <w:r>
        <w:t xml:space="preserve"> </w:t>
      </w:r>
      <w:r>
        <w:t xml:space="preserve">record previously made public may be withheld, redacted, postponed, or reclassified; and no record created outside</w:t>
      </w:r>
      <w:r>
        <w:t xml:space="preserve"> </w:t>
      </w:r>
      <w:r>
        <w:t xml:space="preserve">the federal government may be withheld or redacted except for protected names and identities (§1842(a)(2)).</w:t>
      </w:r>
      <w:r>
        <w:t xml:space="preserve"> </w:t>
      </w:r>
      <w:r>
        <w:t xml:space="preserve">Disclosure may be postponed only if the original classification authority determines that there is</w:t>
      </w:r>
      <w:r>
        <w:t xml:space="preserve"> </w:t>
      </w:r>
      <w:r>
        <w:t xml:space="preserve">“</w:t>
      </w:r>
      <w:r>
        <w:t xml:space="preserve">clear and</w:t>
      </w:r>
      <w:r>
        <w:t xml:space="preserve"> </w:t>
      </w:r>
      <w:r>
        <w:t xml:space="preserve">convincing evidence</w:t>
      </w:r>
      <w:r>
        <w:t xml:space="preserve">”</w:t>
      </w:r>
      <w:r>
        <w:t xml:space="preserve"> </w:t>
      </w:r>
      <w:r>
        <w:t xml:space="preserve">that one of the grounds in §1843(a) applies. Each continued postponement requires an</w:t>
      </w:r>
      <w:r>
        <w:t xml:space="preserve"> </w:t>
      </w:r>
      <w:r>
        <w:t xml:space="preserve">unclassified written description of the reason, published in the Federal Register (§1842(g)(2)(B)), and every</w:t>
      </w:r>
      <w:r>
        <w:t xml:space="preserve"> </w:t>
      </w:r>
      <w:r>
        <w:t xml:space="preserve">record must be disclosed in full within 25 years after its creation unless the President certifies that continued</w:t>
      </w:r>
      <w:r>
        <w:t xml:space="preserve"> </w:t>
      </w:r>
      <w:r>
        <w:t xml:space="preserve">postponement is necessary because of an identifiable harm that outweighs the public interest (§1842(g)(2)(D)).</w:t>
      </w:r>
    </w:p>
    <w:p>
      <w:pPr>
        <w:numPr>
          <w:ilvl w:val="0"/>
          <w:numId w:val="1004"/>
        </w:numPr>
        <w:spacing w:lineRule="exact" w:line="480" w:before="0" w:after="0"/>
      </w:pPr>
      <w:r>
        <w:t xml:space="preserve">The Records Collection provisions impose duties that are discrete and mandatory: they use the word</w:t>
      </w:r>
      <w:r>
        <w:t xml:space="preserve"> </w:t>
      </w:r>
      <w:r>
        <w:t xml:space="preserve">“</w:t>
      </w:r>
      <w:r>
        <w:t xml:space="preserve">shall,</w:t>
      </w:r>
      <w:r>
        <w:t xml:space="preserve">”</w:t>
      </w:r>
      <w:r>
        <w:t xml:space="preserve"> </w:t>
      </w:r>
      <w:r>
        <w:t xml:space="preserve">specify the act to be performed, and leave no discretion as to whether to perform it.</w:t>
      </w:r>
    </w:p>
    <w:p>
      <w:pPr>
        <w:pStyle w:val="FirstParagraph"/>
        <w:keepNext/>
        <w:spacing w:lineRule="exact" w:line="480" w:before="0" w:after="0"/>
        <w:jc w:val="center"/>
      </w:pPr>
      <w:r>
        <w:rPr>
          <w:bCs/>
          <w:b/>
        </w:rPr>
        <w:t xml:space="preserve">FACTS</w:t>
      </w:r>
    </w:p>
    <w:p>
      <w:pPr>
        <w:numPr>
          <w:ilvl w:val="0"/>
          <w:numId w:val="1005"/>
        </w:numPr>
        <w:spacing w:lineRule="exact" w:line="480" w:before="0" w:after="0"/>
      </w:pPr>
      <w:r>
        <w:t xml:space="preserve">[The records. Describe with specificity, e.g.,</w:t>
      </w:r>
      <w:r>
        <w:t xml:space="preserve"> </w:t>
      </w:r>
      <w:r>
        <w:t xml:space="preserve">“</w:t>
      </w:r>
      <w:r>
        <w:t xml:space="preserve">the [title] report dated [date], identified as</w:t>
      </w:r>
      <w:r>
        <w:t xml:space="preserve"> </w:t>
      </w:r>
      <w:r>
        <w:t xml:space="preserve">[number], which [agency] referenced in [public document]</w:t>
      </w:r>
      <w:r>
        <w:t xml:space="preserve">”</w:t>
      </w:r>
      <w:r>
        <w:t xml:space="preserve">;</w:t>
      </w:r>
      <w:r>
        <w:t xml:space="preserve"> </w:t>
      </w:r>
      <w:r>
        <w:t xml:space="preserve">“</w:t>
      </w:r>
      <w:r>
        <w:t xml:space="preserve">all records of [event] on [date] at</w:t>
      </w:r>
      <w:r>
        <w:t xml:space="preserve"> </w:t>
      </w:r>
      <w:r>
        <w:t xml:space="preserve">[place]</w:t>
      </w:r>
      <w:r>
        <w:t xml:space="preserve">”</w:t>
      </w:r>
      <w:r>
        <w:t xml:space="preserve">; or a category tied to an official acknowledgment.] These are</w:t>
      </w:r>
      <w:r>
        <w:t xml:space="preserve"> </w:t>
      </w:r>
      <w:r>
        <w:t xml:space="preserve">“</w:t>
      </w:r>
      <w:r>
        <w:t xml:space="preserve">unidentified anomalous phenomena</w:t>
      </w:r>
      <w:r>
        <w:t xml:space="preserve"> </w:t>
      </w:r>
      <w:r>
        <w:t xml:space="preserve">records</w:t>
      </w:r>
      <w:r>
        <w:t xml:space="preserve">”</w:t>
      </w:r>
      <w:r>
        <w:t xml:space="preserve"> </w:t>
      </w:r>
      <w:r>
        <w:t xml:space="preserve">within §1841(a)(1)(C).</w:t>
      </w:r>
    </w:p>
    <w:p>
      <w:pPr>
        <w:numPr>
          <w:ilvl w:val="0"/>
          <w:numId w:val="1005"/>
        </w:numPr>
        <w:spacing w:lineRule="exact" w:line="480" w:before="0" w:after="0"/>
      </w:pPr>
      <w:r>
        <w:t xml:space="preserve">[Age. If more than 25 years old:] The records were created more than 25 years ago. On information and</w:t>
      </w:r>
      <w:r>
        <w:t xml:space="preserve"> </w:t>
      </w:r>
      <w:r>
        <w:t xml:space="preserve">belief, the President has not certified under §1842(g)(2)(D) that continued postponement of these</w:t>
      </w:r>
      <w:r>
        <w:t xml:space="preserve"> </w:t>
      </w:r>
      <w:r>
        <w:t xml:space="preserve">records is necessary.</w:t>
      </w:r>
    </w:p>
    <w:p>
      <w:pPr>
        <w:numPr>
          <w:ilvl w:val="0"/>
          <w:numId w:val="1005"/>
        </w:numPr>
        <w:spacing w:lineRule="exact" w:line="480" w:before="0" w:after="0"/>
      </w:pPr>
      <w:r>
        <w:t xml:space="preserve">[Non-federal origin. If applicable:] Records [identify] were created by [person or entity outside the</w:t>
      </w:r>
      <w:r>
        <w:t xml:space="preserve"> </w:t>
      </w:r>
      <w:r>
        <w:t xml:space="preserve">federal government] and are therefore subject to §1842(a)(2)(C).</w:t>
      </w:r>
    </w:p>
    <w:p>
      <w:pPr>
        <w:numPr>
          <w:ilvl w:val="0"/>
          <w:numId w:val="1005"/>
        </w:numPr>
        <w:spacing w:lineRule="exact" w:line="480" w:before="0" w:after="0"/>
      </w:pPr>
      <w:r>
        <w:t xml:space="preserve">[Previously public. If applicable:] Records [identify] were released to the public on [date] by</w:t>
      </w:r>
      <w:r>
        <w:t xml:space="preserve"> </w:t>
      </w:r>
      <w:r>
        <w:t xml:space="preserve">[source] and have since been withheld or redacted.</w:t>
      </w:r>
    </w:p>
    <w:p>
      <w:pPr>
        <w:numPr>
          <w:ilvl w:val="0"/>
          <w:numId w:val="1005"/>
        </w:numPr>
        <w:spacing w:lineRule="exact" w:line="480" w:before="0" w:after="0"/>
      </w:pPr>
      <w:r>
        <w:t xml:space="preserve">[Postponement without notice.] On information and belief, [agency] has postponed public disclosure of</w:t>
      </w:r>
      <w:r>
        <w:t xml:space="preserve"> </w:t>
      </w:r>
      <w:r>
        <w:t xml:space="preserve">records [identify] without publishing in the Federal Register an unclassified written description of the</w:t>
      </w:r>
      <w:r>
        <w:t xml:space="preserve"> </w:t>
      </w:r>
      <w:r>
        <w:t xml:space="preserve">reason, as §1842(g)(2)(B) requires. A search of the Federal Register on [date] found no such notice.</w:t>
      </w:r>
    </w:p>
    <w:p>
      <w:pPr>
        <w:numPr>
          <w:ilvl w:val="0"/>
          <w:numId w:val="1005"/>
        </w:numPr>
        <w:spacing w:lineRule="exact" w:line="480" w:before="0" w:after="0"/>
      </w:pPr>
      <w:r>
        <w:t xml:space="preserve">[Transmission.] On [date], Plaintiff asked NARA whether the records had been transmitted to the</w:t>
      </w:r>
      <w:r>
        <w:t xml:space="preserve"> </w:t>
      </w:r>
      <w:r>
        <w:t xml:space="preserve">Collection. NARA responded [describe]. As of the filing of this Complaint, the records do not appear in</w:t>
      </w:r>
      <w:r>
        <w:t xml:space="preserve"> </w:t>
      </w:r>
      <w:r>
        <w:t xml:space="preserve">the Collection’s online catalog.</w:t>
      </w:r>
    </w:p>
    <w:p>
      <w:pPr>
        <w:numPr>
          <w:ilvl w:val="0"/>
          <w:numId w:val="1005"/>
        </w:numPr>
        <w:spacing w:lineRule="exact" w:line="480" w:before="0" w:after="0"/>
      </w:pPr>
      <w:r>
        <w:rPr>
          <w:bCs/>
          <w:b/>
        </w:rPr>
        <w:t xml:space="preserve">FOIA request.</w:t>
      </w:r>
      <w:r>
        <w:t xml:space="preserve"> </w:t>
      </w:r>
      <w:r>
        <w:t xml:space="preserve">On [date], Plaintiff submitted a FOIA request to [agency] for [records]. Exhibit A.</w:t>
      </w:r>
      <w:r>
        <w:t xml:space="preserve"> </w:t>
      </w:r>
      <w:r>
        <w:t xml:space="preserve">[Agency] acknowledged the request on [date] and assigned number [__]. [Describe: no determination within</w:t>
      </w:r>
      <w:r>
        <w:t xml:space="preserve"> </w:t>
      </w:r>
      <w:r>
        <w:t xml:space="preserve">20 working days; or denial on [date] and administrative appeal on [date], decided / not decided.]</w:t>
      </w:r>
      <w:r>
        <w:t xml:space="preserve"> </w:t>
      </w:r>
      <w:r>
        <w:t xml:space="preserve">Plaintiff has exhausted administrative remedies or is deemed to have done so under 5 U.S.C.</w:t>
      </w:r>
      <w:r>
        <w:t xml:space="preserve"> </w:t>
      </w:r>
      <w:r>
        <w:t xml:space="preserve">§552(a)(6)(C)(i).</w:t>
      </w:r>
    </w:p>
    <w:p>
      <w:pPr>
        <w:numPr>
          <w:ilvl w:val="0"/>
          <w:numId w:val="1005"/>
        </w:numPr>
        <w:spacing w:lineRule="exact" w:line="480" w:before="0" w:after="0"/>
      </w:pPr>
      <w:r>
        <w:rPr>
          <w:bCs/>
          <w:b/>
        </w:rPr>
        <w:t xml:space="preserve">Official acknowledgment.</w:t>
      </w:r>
      <w:r>
        <w:t xml:space="preserve"> </w:t>
      </w:r>
      <w:r>
        <w:t xml:space="preserve">The existence and subject of the records have been officially</w:t>
      </w:r>
      <w:r>
        <w:t xml:space="preserve"> </w:t>
      </w:r>
      <w:r>
        <w:t xml:space="preserve">acknowledged in [list]. [Agency] cannot properly refuse to confirm or deny their existence.</w:t>
      </w:r>
    </w:p>
    <w:p>
      <w:pPr>
        <w:pStyle w:val="FirstParagraph"/>
        <w:spacing w:lineRule="exact" w:line="480" w:before="0" w:after="0"/>
        <w:ind w:firstLine="720"/>
      </w:pPr>
      <w:r>
        <w:rPr>
          <w:bCs/>
          <w:b/>
        </w:rPr>
        <w:t xml:space="preserve">COUNT I: Freedom of Information Act, 5 U.S.C. §552 (against [agency])</w:t>
      </w:r>
    </w:p>
    <w:p>
      <w:pPr>
        <w:numPr>
          <w:ilvl w:val="0"/>
          <w:numId w:val="1006"/>
        </w:numPr>
        <w:spacing w:lineRule="exact" w:line="480" w:before="0" w:after="0"/>
      </w:pPr>
      <w:r>
        <w:t xml:space="preserve">Plaintiff incorporates the preceding paragraphs.</w:t>
      </w:r>
    </w:p>
    <w:p>
      <w:pPr>
        <w:numPr>
          <w:ilvl w:val="0"/>
          <w:numId w:val="1006"/>
        </w:numPr>
        <w:spacing w:lineRule="exact" w:line="480" w:before="0" w:after="0"/>
      </w:pPr>
      <w:r>
        <w:t xml:space="preserve">[Agency] has failed to make a timely determination on, conduct an adequate search for, and release</w:t>
      </w:r>
      <w:r>
        <w:t xml:space="preserve"> </w:t>
      </w:r>
      <w:r>
        <w:t xml:space="preserve">all reasonably segregable non-exempt portions of the requested records. In particular, [agency] has not</w:t>
      </w:r>
      <w:r>
        <w:t xml:space="preserve"> </w:t>
      </w:r>
      <w:r>
        <w:t xml:space="preserve">shown that it searched all locations likely to contain responsive records using all reasonable search</w:t>
      </w:r>
      <w:r>
        <w:t xml:space="preserve"> </w:t>
      </w:r>
      <w:r>
        <w:t xml:space="preserve">terms, including</w:t>
      </w:r>
      <w:r>
        <w:t xml:space="preserve"> </w:t>
      </w:r>
      <w:r>
        <w:t xml:space="preserve">“</w:t>
      </w:r>
      <w:r>
        <w:t xml:space="preserve">UAP,</w:t>
      </w:r>
      <w:r>
        <w:t xml:space="preserve">”</w:t>
      </w:r>
      <w:r>
        <w:t xml:space="preserve"> </w:t>
      </w:r>
      <w:r>
        <w:t xml:space="preserve">“</w:t>
      </w:r>
      <w:r>
        <w:t xml:space="preserve">UFO,</w:t>
      </w:r>
      <w:r>
        <w:t xml:space="preserve">”</w:t>
      </w:r>
      <w:r>
        <w:t xml:space="preserve"> </w:t>
      </w:r>
      <w:r>
        <w:t xml:space="preserve">and</w:t>
      </w:r>
      <w:r>
        <w:t xml:space="preserve"> </w:t>
      </w:r>
      <w:r>
        <w:t xml:space="preserve">“</w:t>
      </w:r>
      <w:r>
        <w:t xml:space="preserve">unidentified anomalous phenomena.</w:t>
      </w:r>
      <w:r>
        <w:t xml:space="preserve">”</w:t>
      </w:r>
      <w:r>
        <w:t xml:space="preserve"> </w:t>
      </w:r>
      <w:r>
        <w:rPr>
          <w:iCs/>
          <w:i/>
        </w:rPr>
        <w:t xml:space="preserve">See Slaughter v. Dep’t of the</w:t>
      </w:r>
      <w:r>
        <w:rPr>
          <w:iCs/>
          <w:i/>
        </w:rPr>
        <w:t xml:space="preserve"> </w:t>
      </w:r>
      <w:r>
        <w:rPr>
          <w:iCs/>
          <w:i/>
        </w:rPr>
        <w:t xml:space="preserve">Air Force</w:t>
      </w:r>
      <w:r>
        <w:t xml:space="preserve">, No. 1:24-cv-862-RCL, 2026 WL 571249, at *4 (D.D.C. Mar. 2, 2026).</w:t>
      </w:r>
    </w:p>
    <w:p>
      <w:pPr>
        <w:pStyle w:val="FirstParagraph"/>
        <w:spacing w:lineRule="exact" w:line="480" w:before="0" w:after="0"/>
        <w:ind w:firstLine="720"/>
      </w:pPr>
      <w:r>
        <w:t xml:space="preserve">20A. [Agency] has also withheld information without showing that it</w:t>
      </w:r>
      <w:r>
        <w:t xml:space="preserve"> </w:t>
      </w:r>
      <w:r>
        <w:t xml:space="preserve">“</w:t>
      </w:r>
      <w:r>
        <w:t xml:space="preserve">reasonably foresees that disclosure would harm</w:t>
      </w:r>
      <w:r>
        <w:t xml:space="preserve"> </w:t>
      </w:r>
      <w:r>
        <w:t xml:space="preserve">an interest protected by an exemption.</w:t>
      </w:r>
      <w:r>
        <w:t xml:space="preserve">”</w:t>
      </w:r>
      <w:r>
        <w:t xml:space="preserve"> </w:t>
      </w:r>
      <w:r>
        <w:t xml:space="preserve">5 U.S.C. §552(a)(8)(A)(i);</w:t>
      </w:r>
      <w:r>
        <w:t xml:space="preserve"> </w:t>
      </w:r>
      <w:r>
        <w:rPr>
          <w:iCs/>
          <w:i/>
        </w:rPr>
        <w:t xml:space="preserve">Reporters Comm. for Freedom of the Press v. FBI</w:t>
      </w:r>
      <w:r>
        <w:t xml:space="preserve">,</w:t>
      </w:r>
      <w:r>
        <w:t xml:space="preserve"> </w:t>
      </w:r>
      <w:r>
        <w:t xml:space="preserve">3 F.4th 350, 369-70 (D.C. Cir. 2021).</w:t>
      </w:r>
    </w:p>
    <w:p>
      <w:pPr>
        <w:pStyle w:val="Compact"/>
        <w:numPr>
          <w:ilvl w:val="0"/>
          <w:numId w:val="1007"/>
        </w:numPr>
        <w:spacing w:lineRule="exact" w:line="480" w:before="0" w:after="0"/>
      </w:pPr>
      <w:r>
        <w:t xml:space="preserve">Plaintiff is entitled to an order compelling an adequate search and release of the records.</w:t>
      </w:r>
    </w:p>
    <w:p>
      <w:pPr>
        <w:pStyle w:val="FirstParagraph"/>
        <w:spacing w:lineRule="exact" w:line="480" w:before="0" w:after="0"/>
        <w:ind w:firstLine="720"/>
      </w:pPr>
      <w:r>
        <w:rPr>
          <w:bCs/>
          <w:b/>
        </w:rPr>
        <w:t xml:space="preserve">COUNT II: APA, 5 U.S.C. §706(1): Agency action unlawfully withheld (against [agency])</w:t>
      </w:r>
    </w:p>
    <w:p>
      <w:pPr>
        <w:numPr>
          <w:ilvl w:val="0"/>
          <w:numId w:val="1008"/>
        </w:numPr>
        <w:spacing w:lineRule="exact" w:line="480" w:before="0" w:after="0"/>
      </w:pPr>
      <w:r>
        <w:t xml:space="preserve">Plaintiff incorporates the preceding paragraphs.</w:t>
      </w:r>
    </w:p>
    <w:p>
      <w:pPr>
        <w:numPr>
          <w:ilvl w:val="0"/>
          <w:numId w:val="1008"/>
        </w:numPr>
        <w:spacing w:lineRule="exact" w:line="480" w:before="0" w:after="0"/>
      </w:pPr>
      <w:r>
        <w:t xml:space="preserve">[Agency] has failed to take the following discrete actions that the Records Collection provisions</w:t>
      </w:r>
      <w:r>
        <w:t xml:space="preserve"> </w:t>
      </w:r>
      <w:r>
        <w:t xml:space="preserve">require it to take: (a) transmit the identified UAP records to the Archivist for inclusion in the</w:t>
      </w:r>
      <w:r>
        <w:t xml:space="preserve"> </w:t>
      </w:r>
      <w:r>
        <w:t xml:space="preserve">Collection; (b) [for non-federal records] release records created outside the federal government</w:t>
      </w:r>
      <w:r>
        <w:t xml:space="preserve"> </w:t>
      </w:r>
      <w:r>
        <w:t xml:space="preserve">without withholding or redaction other than protected names; (c) [for previously public records]</w:t>
      </w:r>
      <w:r>
        <w:t xml:space="preserve"> </w:t>
      </w:r>
      <w:r>
        <w:t xml:space="preserve">refrain from withholding records previously made public; and (d) publish in the Federal Register an</w:t>
      </w:r>
      <w:r>
        <w:t xml:space="preserve"> </w:t>
      </w:r>
      <w:r>
        <w:t xml:space="preserve">unclassified written description of the reason for each continued postponement.</w:t>
      </w:r>
    </w:p>
    <w:p>
      <w:pPr>
        <w:numPr>
          <w:ilvl w:val="0"/>
          <w:numId w:val="1008"/>
        </w:numPr>
        <w:spacing w:lineRule="exact" w:line="480" w:before="0" w:after="0"/>
      </w:pPr>
      <w:r>
        <w:t xml:space="preserve">The statutory deadline for review, 300 days after enactment, has passed. [Agency]’s failure to act is</w:t>
      </w:r>
      <w:r>
        <w:t xml:space="preserve"> </w:t>
      </w:r>
      <w:r>
        <w:t xml:space="preserve">unlawful withholding of agency action, or in the alternative unreasonable delay.</w:t>
      </w:r>
      <w:r>
        <w:t xml:space="preserve"> </w:t>
      </w:r>
      <w:r>
        <w:rPr>
          <w:iCs/>
          <w:i/>
        </w:rPr>
        <w:t xml:space="preserve">See Telecomms.</w:t>
      </w:r>
      <w:r>
        <w:rPr>
          <w:iCs/>
          <w:i/>
        </w:rPr>
        <w:t xml:space="preserve"> </w:t>
      </w:r>
      <w:r>
        <w:rPr>
          <w:iCs/>
          <w:i/>
        </w:rPr>
        <w:t xml:space="preserve">Research &amp; Action Ctr. v. FCC</w:t>
      </w:r>
      <w:r>
        <w:t xml:space="preserve">, 750 F.2d 70, 80 (D.C. Cir. 1984).</w:t>
      </w:r>
    </w:p>
    <w:p>
      <w:pPr>
        <w:pStyle w:val="FirstParagraph"/>
        <w:spacing w:lineRule="exact" w:line="480" w:before="0" w:after="0"/>
        <w:ind w:firstLine="720"/>
      </w:pPr>
      <w:r>
        <w:rPr>
          <w:bCs/>
          <w:b/>
        </w:rPr>
        <w:t xml:space="preserve">COUNT III: APA, 5 U.S.C. §706(2): Action contrary to law (against [agency] and NARA)</w:t>
      </w:r>
    </w:p>
    <w:p>
      <w:pPr>
        <w:numPr>
          <w:ilvl w:val="0"/>
          <w:numId w:val="1009"/>
        </w:numPr>
        <w:spacing w:lineRule="exact" w:line="480" w:before="0" w:after="0"/>
      </w:pPr>
      <w:r>
        <w:t xml:space="preserve">Plaintiff incorporates the preceding paragraphs.</w:t>
      </w:r>
    </w:p>
    <w:p>
      <w:pPr>
        <w:numPr>
          <w:ilvl w:val="0"/>
          <w:numId w:val="1009"/>
        </w:numPr>
        <w:spacing w:lineRule="exact" w:line="480" w:before="0" w:after="0"/>
      </w:pPr>
      <w:r>
        <w:t xml:space="preserve">To the extent [agency] has postponed disclosure of the records, its postponement is a final agency</w:t>
      </w:r>
      <w:r>
        <w:t xml:space="preserve"> </w:t>
      </w:r>
      <w:r>
        <w:t xml:space="preserve">action that is</w:t>
      </w:r>
      <w:r>
        <w:t xml:space="preserve"> </w:t>
      </w:r>
      <w:r>
        <w:t xml:space="preserve">“</w:t>
      </w:r>
      <w:r>
        <w:t xml:space="preserve">not in accordance with law</w:t>
      </w:r>
      <w:r>
        <w:t xml:space="preserve">”</w:t>
      </w:r>
      <w:r>
        <w:t xml:space="preserve"> </w:t>
      </w:r>
      <w:r>
        <w:t xml:space="preserve">and</w:t>
      </w:r>
      <w:r>
        <w:t xml:space="preserve"> </w:t>
      </w:r>
      <w:r>
        <w:t xml:space="preserve">“</w:t>
      </w:r>
      <w:r>
        <w:t xml:space="preserve">without observance of procedure required by law,</w:t>
      </w:r>
      <w:r>
        <w:t xml:space="preserve">”</w:t>
      </w:r>
      <w:r>
        <w:t xml:space="preserve"> </w:t>
      </w:r>
      <w:r>
        <w:t xml:space="preserve">because (a) it was not based on a determination by the original classification authority that clear and</w:t>
      </w:r>
      <w:r>
        <w:t xml:space="preserve"> </w:t>
      </w:r>
      <w:r>
        <w:t xml:space="preserve">convincing evidence established a ground listed in §1843(a); (b) it was not accompanied by the required</w:t>
      </w:r>
      <w:r>
        <w:t xml:space="preserve"> </w:t>
      </w:r>
      <w:r>
        <w:t xml:space="preserve">Federal Register publication; and (c) [for records over 25 years old] it continues past the 25-year</w:t>
      </w:r>
      <w:r>
        <w:t xml:space="preserve"> </w:t>
      </w:r>
      <w:r>
        <w:t xml:space="preserve">deadline without the required presidential certification.</w:t>
      </w:r>
    </w:p>
    <w:p>
      <w:pPr>
        <w:numPr>
          <w:ilvl w:val="0"/>
          <w:numId w:val="1009"/>
        </w:numPr>
        <w:spacing w:lineRule="exact" w:line="480" w:before="0" w:after="0"/>
      </w:pPr>
      <w:r>
        <w:t xml:space="preserve">[Against NARA, if applicable: NARA’s acceptance and maintenance of the postponement, or its failure</w:t>
      </w:r>
      <w:r>
        <w:t xml:space="preserve"> </w:t>
      </w:r>
      <w:r>
        <w:t xml:space="preserve">to make transmitted records available within the periods required by §1841(b)(2), is contrary to law.</w:t>
      </w:r>
      <w:r>
        <w:t xml:space="preserve"> </w:t>
      </w:r>
      <w:r>
        <w:t xml:space="preserve">Plead narrowly; NARA is not required to obtain originating agencies’ unredacted versions.</w:t>
      </w:r>
      <w:r>
        <w:t xml:space="preserve"> </w:t>
      </w:r>
      <w:r>
        <w:rPr>
          <w:iCs/>
          <w:i/>
        </w:rPr>
        <w:t xml:space="preserve">Mary Ferrell</w:t>
      </w:r>
      <w:r>
        <w:rPr>
          <w:iCs/>
          <w:i/>
        </w:rPr>
        <w:t xml:space="preserve"> </w:t>
      </w:r>
      <w:r>
        <w:rPr>
          <w:iCs/>
          <w:i/>
        </w:rPr>
        <w:t xml:space="preserve">Found. v. NARA</w:t>
      </w:r>
      <w:r>
        <w:t xml:space="preserve">, 2026 WL 412367.]</w:t>
      </w:r>
    </w:p>
    <w:p>
      <w:pPr>
        <w:pStyle w:val="FirstParagraph"/>
        <w:keepNext/>
        <w:spacing w:lineRule="exact" w:line="480" w:before="0" w:after="0"/>
        <w:jc w:val="center"/>
      </w:pPr>
      <w:r>
        <w:rPr>
          <w:bCs/>
          <w:b/>
        </w:rPr>
        <w:t xml:space="preserve">PRAYER FOR RELIEF</w:t>
      </w:r>
    </w:p>
    <w:p>
      <w:pPr>
        <w:pStyle w:val="BodyText"/>
        <w:spacing w:lineRule="exact" w:line="480" w:before="0" w:after="0"/>
      </w:pPr>
      <w:r>
        <w:t xml:space="preserve">Plaintiff asks the Court to:</w:t>
      </w:r>
    </w:p>
    <w:p>
      <w:pPr>
        <w:pStyle w:val="BodyText"/>
        <w:spacing w:lineRule="exact" w:line="480" w:before="0" w:after="0"/>
        <w:ind w:firstLine="720"/>
      </w:pPr>
      <w:r>
        <w:t xml:space="preserve">A. Declare that [agency] has violated FOIA and the Records Collection provisions as described above;</w:t>
      </w:r>
    </w:p>
    <w:p>
      <w:pPr>
        <w:pStyle w:val="BodyText"/>
        <w:spacing w:lineRule="exact" w:line="480" w:before="0" w:after="0"/>
        <w:ind w:firstLine="720"/>
      </w:pPr>
      <w:r>
        <w:t xml:space="preserve">B. Order [agency] to conduct an adequate search, to produce all non-exempt responsive records by a date</w:t>
      </w:r>
      <w:r>
        <w:t xml:space="preserve"> </w:t>
      </w:r>
      <w:r>
        <w:t xml:space="preserve">certain, and to provide a Vaughn index for any withholding;</w:t>
      </w:r>
    </w:p>
    <w:p>
      <w:pPr>
        <w:pStyle w:val="BodyText"/>
        <w:spacing w:lineRule="exact" w:line="480" w:before="0" w:after="0"/>
        <w:ind w:firstLine="720"/>
      </w:pPr>
      <w:r>
        <w:t xml:space="preserve">C. Order [agency] to transmit the identified UAP records to the Archivist, to release those subject to</w:t>
      </w:r>
      <w:r>
        <w:t xml:space="preserve"> </w:t>
      </w:r>
      <w:r>
        <w:t xml:space="preserve">§1842(a)(2)(B) and (C), and to publish the reasons for any continued postponement in the Federal Register,</w:t>
      </w:r>
      <w:r>
        <w:t xml:space="preserve"> </w:t>
      </w:r>
      <w:r>
        <w:t xml:space="preserve">by a date certain;</w:t>
      </w:r>
    </w:p>
    <w:p>
      <w:pPr>
        <w:pStyle w:val="BodyText"/>
        <w:spacing w:lineRule="exact" w:line="480" w:before="0" w:after="0"/>
        <w:ind w:firstLine="720"/>
      </w:pPr>
      <w:r>
        <w:t xml:space="preserve">D. Set aside any postponement that does not comply with §1843(a) and §1842(g)(2);</w:t>
      </w:r>
    </w:p>
    <w:p>
      <w:pPr>
        <w:pStyle w:val="BodyText"/>
        <w:spacing w:lineRule="exact" w:line="480" w:before="0" w:after="0"/>
        <w:ind w:firstLine="720"/>
      </w:pPr>
      <w:r>
        <w:t xml:space="preserve">E. Award Plaintiff costs and reasonable attorney fees under 5 U.S.C. §552(a)(4)(E) and 28 U.S.C. §2412;</w:t>
      </w:r>
      <w:r>
        <w:t xml:space="preserve"> </w:t>
      </w:r>
      <w:r>
        <w:t xml:space="preserve">and</w:t>
      </w:r>
    </w:p>
    <w:p>
      <w:pPr>
        <w:pStyle w:val="BodyText"/>
        <w:spacing w:lineRule="exact" w:line="480" w:before="0" w:after="0"/>
      </w:pPr>
      <w:r>
        <w:t xml:space="preserve">F. Grant other relief the Court finds just.</w:t>
      </w:r>
    </w:p>
    <w:p>
      <w:pPr>
        <w:pStyle w:val="BodyText"/>
        <w:spacing w:lineRule="exact" w:line="480" w:before="0" w:after="0"/>
      </w:pPr>
      <w:r>
        <w:t xml:space="preserve">Dated: [__________] Respectfully submitted,</w:t>
      </w:r>
      <w:r>
        <w:br/>
      </w:r>
      <w:r>
        <w:t xml:space="preserve">[signature block]</w:t>
      </w:r>
    </w:p>
    <w:p>
      <w:pPr>
        <w:pStyle w:val="BodyText"/>
        <w:spacing w:lineRule="exact" w:line="480" w:before="0" w:after="0"/>
      </w:pPr>
      <w:r>
        <w:br w:type="page"/>
      </w:r>
    </w:p>
    <w:p>
      <w:pPr>
        <w:pStyle w:val="BodyText"/>
        <w:spacing w:lineRule="exact" w:line="480" w:before="0" w:after="0"/>
        <w:ind w:firstLine="720"/>
      </w:pPr>
      <w:r>
        <w:rPr>
          <w:bCs/>
          <w:b/>
        </w:rPr>
        <w:t xml:space="preserve">Exhibits.</w:t>
      </w:r>
      <w:r>
        <w:t xml:space="preserve"> </w:t>
      </w:r>
      <w:r>
        <w:t xml:space="preserve">A: FOIA request. B: acknowledgment and any determination. C: administrative appeal and any decision.</w:t>
      </w:r>
      <w:r>
        <w:t xml:space="preserve"> </w:t>
      </w:r>
      <w:r>
        <w:t xml:space="preserve">D: NARA correspondence about transmission. E: list of official acknowledgments with copies. F: list of information</w:t>
      </w:r>
      <w:r>
        <w:t xml:space="preserve"> </w:t>
      </w:r>
      <w:r>
        <w:t xml:space="preserve">already public through the Collection or other official releases (for the</w:t>
      </w:r>
      <w:r>
        <w:t xml:space="preserve"> </w:t>
      </w:r>
      <w:r>
        <w:rPr>
          <w:iCs/>
          <w:i/>
        </w:rPr>
        <w:t xml:space="preserve">Scott</w:t>
      </w:r>
      <w:r>
        <w:t xml:space="preserve"> </w:t>
      </w:r>
      <w:r>
        <w:t xml:space="preserve">argument).</w:t>
      </w:r>
    </w:p>
    <w:p>
      <w:pPr>
        <w:pStyle w:val="BodyText"/>
        <w:spacing w:lineRule="exact" w:line="480" w:before="0" w:after="0"/>
      </w:pPr>
      <w:r>
        <w:rPr>
          <w:bCs/>
          <w:b/>
        </w:rPr>
        <w:t xml:space="preserve">Drafting notes</w:t>
      </w:r>
    </w:p>
    <w:p>
      <w:pPr>
        <w:pStyle w:val="Compact"/>
        <w:numPr>
          <w:ilvl w:val="0"/>
          <w:numId w:val="1010"/>
        </w:numPr>
        <w:spacing w:lineRule="exact" w:line="480" w:before="0" w:after="0"/>
      </w:pPr>
      <w:r>
        <w:t xml:space="preserve">Standing for the APA counts rests on informational injury: Plaintiff sought and was denied</w:t>
      </w:r>
      <w:r>
        <w:t xml:space="preserve"> </w:t>
      </w:r>
      <w:r>
        <w:t xml:space="preserve">information that the statute requires to be made public. Plead specific use of the records.</w:t>
      </w:r>
    </w:p>
    <w:p>
      <w:pPr>
        <w:pStyle w:val="Compact"/>
        <w:numPr>
          <w:ilvl w:val="0"/>
          <w:numId w:val="1010"/>
        </w:numPr>
        <w:spacing w:lineRule="exact" w:line="480" w:before="0" w:after="0"/>
      </w:pPr>
      <w:r>
        <w:t xml:space="preserve">Expect the government to argue that the Records Collection provisions create no enforceable rights and</w:t>
      </w:r>
      <w:r>
        <w:t xml:space="preserve"> </w:t>
      </w:r>
      <w:r>
        <w:t xml:space="preserve">that transmission timing is committed to agency discretion. Answer with the mandatory language and the</w:t>
      </w:r>
      <w:r>
        <w:t xml:space="preserve"> </w:t>
      </w:r>
      <w:r>
        <w:t xml:space="preserve">fixed 300-day review deadline.</w:t>
      </w:r>
    </w:p>
    <w:p>
      <w:pPr>
        <w:pStyle w:val="Compact"/>
        <w:numPr>
          <w:ilvl w:val="0"/>
          <w:numId w:val="1010"/>
        </w:numPr>
        <w:spacing w:lineRule="exact" w:line="480" w:before="0" w:after="0"/>
      </w:pPr>
      <w:r>
        <w:t xml:space="preserve">If H.R. 8800 is enacted, add its §1769(c) (APA review of</w:t>
      </w:r>
      <w:r>
        <w:t xml:space="preserve"> </w:t>
      </w:r>
      <w:r>
        <w:t xml:space="preserve">“</w:t>
      </w:r>
      <w:r>
        <w:t xml:space="preserve">final actions taken or required to be taken</w:t>
      </w:r>
      <w:r>
        <w:t xml:space="preserve">”</w:t>
      </w:r>
      <w:r>
        <w:t xml:space="preserve">)</w:t>
      </w:r>
      <w:r>
        <w:t xml:space="preserve"> </w:t>
      </w:r>
      <w:r>
        <w:t xml:space="preserve">and adapt citations to the renumbered sections and the §1772 transition provisions.</w:t>
      </w:r>
    </w:p>
    <w:p>
      <w:pPr>
        <w:pStyle w:val="Compact"/>
        <w:numPr>
          <w:ilvl w:val="0"/>
          <w:numId w:val="1010"/>
        </w:numPr>
        <w:spacing w:lineRule="exact" w:line="480" w:before="0" w:after="0"/>
      </w:pPr>
      <w:r>
        <w:t xml:space="preserve">Fee entitlement depends on public benefit from the specific records obtained.</w:t>
      </w:r>
      <w:r>
        <w:t xml:space="preserve"> </w:t>
      </w:r>
      <w:r>
        <w:rPr>
          <w:iCs/>
          <w:i/>
        </w:rPr>
        <w:t xml:space="preserve">Bryant v. CIA</w:t>
      </w:r>
      <w:r>
        <w:t xml:space="preserve">, 818 F.</w:t>
      </w:r>
      <w:r>
        <w:t xml:space="preserve"> </w:t>
      </w:r>
      <w:r>
        <w:t xml:space="preserve">Supp. 2d 153 (D.D.C. 2011) (UFO FOIA; fees denied).</w:t>
      </w:r>
    </w:p>
    <w:p>
      <w:pPr>
        <w:pStyle w:val="Compact"/>
        <w:numPr>
          <w:ilvl w:val="0"/>
          <w:numId w:val="1010"/>
        </w:numPr>
        <w:spacing w:lineRule="exact" w:line="480" w:before="0" w:after="0"/>
      </w:pPr>
      <w:r>
        <w:t xml:space="preserve">Do not plead the Records Collection’s postponement standard in the FOIA count; a FOIA claim is decided on</w:t>
      </w:r>
      <w:r>
        <w:t xml:space="preserve"> </w:t>
      </w:r>
      <w:r>
        <w:t xml:space="preserve">FOIA’s exemptions.</w:t>
      </w:r>
      <w:r>
        <w:t xml:space="preserve"> </w:t>
      </w:r>
      <w:r>
        <w:rPr>
          <w:iCs/>
          <w:i/>
        </w:rPr>
        <w:t xml:space="preserve">Assassination Archives &amp; Research Ctr. v. DOJ</w:t>
      </w:r>
      <w:r>
        <w:t xml:space="preserve">, 43 F.3d 1542 (D.C. Cir. 1995). If agencies</w:t>
      </w:r>
      <w:r>
        <w:t xml:space="preserve"> </w:t>
      </w:r>
      <w:r>
        <w:t xml:space="preserve">have released overlapping material through the Collection, prepare a list of the specific information now</w:t>
      </w:r>
      <w:r>
        <w:t xml:space="preserve"> </w:t>
      </w:r>
      <w:r>
        <w:t xml:space="preserve">public, with copies. With that list, the agency must release the matching withheld text or explain by</w:t>
      </w:r>
      <w:r>
        <w:t xml:space="preserve"> </w:t>
      </w:r>
      <w:r>
        <w:t xml:space="preserve">declaration why formal release would still harm national security.</w:t>
      </w:r>
      <w:r>
        <w:t xml:space="preserve"> </w:t>
      </w:r>
      <w:r>
        <w:rPr>
          <w:iCs/>
          <w:i/>
        </w:rPr>
        <w:t xml:space="preserve">Scott v. CIA</w:t>
      </w:r>
      <w:r>
        <w:t xml:space="preserve">, 916 F. Supp. 42, 50 &amp; n.8</w:t>
      </w:r>
      <w:r>
        <w:t xml:space="preserve"> </w:t>
      </w:r>
      <w:r>
        <w:t xml:space="preserve">(D.D.C. 1996).</w:t>
      </w:r>
    </w:p>
    <w:bookmarkEnd w:id="20"/>
    <w:sectPr>
      <w:headerReference w:type="default" r:id="rId11"/>
      <w:footerReference w:type="default" r:id="rId12"/>
      <w:pgSz w:h="15840" w:w="12240"/>
      <w:pgMar w:bottom="936" w:left="2160" w:right="864" w:top="1440" w:header="576" w:footer="360"/>
      <w:pgBorders w:offsetFrom="text">
        <w:left w:val="double" w:sz="4" w:space="4" w:color="000000"/>
        <w:right w:val="single" w:sz="4" w:space="4" w:color="000000"/>
      </w:pgBorders>
      <w:pgNumType w:start="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Rule="exact" w:line="220" w:before="0" w:after="0"/>
      <w:jc w:val="center"/>
    </w:pPr>
    <w:r>
      <w:rPr>
        <w:rFonts w:ascii="Times New Roman" w:hAnsi="Times New Roman" w:cs="Times New Roman" w:eastAsia="Times New Roman"/>
        <w:sz w:val="20"/>
      </w:rPr>
      <w:fldChar w:fldCharType="begin"/>
    </w:r>
    <w:r>
      <w:rPr>
        <w:rFonts w:ascii="Times New Roman" w:hAnsi="Times New Roman" w:cs="Times New Roman" w:eastAsia="Times New Roman"/>
        <w:sz w:val="20"/>
      </w:rPr>
      <w:instrText xml:space="preserve"> PAGE </w:instrText>
    </w:r>
    <w:r>
      <w:rPr>
        <w:rFonts w:ascii="Times New Roman" w:hAnsi="Times New Roman" w:cs="Times New Roman" w:eastAsia="Times New Roman"/>
        <w:sz w:val="20"/>
      </w:rPr>
      <w:fldChar w:fldCharType="separate"/>
    </w:r>
    <w:r>
      <w:rPr>
        <w:rFonts w:ascii="Times New Roman" w:hAnsi="Times New Roman" w:cs="Times New Roman" w:eastAsia="Times New Roman"/>
        <w:sz w:val="20"/>
      </w:rPr>
      <w:t>1</w:t>
    </w:r>
    <w:r>
      <w:rPr>
        <w:rFonts w:ascii="Times New Roman" w:hAnsi="Times New Roman" w:cs="Times New Roman" w:eastAsia="Times New Roman"/>
        <w:sz w:val="20"/>
      </w:rPr>
      <w:fldChar w:fldCharType="end"/>
    </w:r>
  </w:p>
  <w:p>
    <w:pPr>
      <w:pBdr>
        <w:top w:val="single" w:sz="6" w:space="1" w:color="000000"/>
      </w:pBdr>
      <w:spacing w:lineRule="exact" w:line="220" w:before="0" w:after="0"/>
      <w:jc w:val="center"/>
    </w:pPr>
    <w:r>
      <w:rPr>
        <w:rFonts w:ascii="Times New Roman" w:hAnsi="Times New Roman" w:cs="Times New Roman" w:eastAsia="Times New Roman"/>
        <w:sz w:val="18"/>
      </w:rPr>
      <w:t>COMPLAINT FOR DECLARATORY AND INJUNCTIVE RELIEF</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Rule="exact" w:line="40" w:before="0" w:after="0"/>
    </w:pPr>
    <w:r>
      <w:pict>
        <v:shapetype id="_x0000_t202" coordsize="21600,21600" o:spt="202" path="m,l,21600r21600,l21600,xe">
          <v:stroke joinstyle="miter"/>
          <v:path gradientshapeok="t" o:connecttype="rect"/>
        </v:shapetype>
        <v:shape id="PleadingLineNumbers" o:spid="_x0000_s1025" type="#_x0000_t202" filled="f" stroked="f" style="position:absolute;margin-left:0.8in;margin-top:1in;width:0.5in;height:672pt;z-index:-251657216;mso-position-horizontal-relative:page;mso-position-vertical-relative:page">
          <v:textbox inset="0,0,0,0">
            <w:txbxContent>
              <w:p>
                <w:pPr>
                  <w:spacing w:before="0" w:after="0" w:line="480" w:lineRule="exact"/>
                  <w:jc w:val="right"/>
                </w:pPr>
                <w:r>
                  <w:rPr>
                    <w:rFonts w:ascii="Times New Roman" w:hAnsi="Times New Roman" w:cs="Times New Roman"/>
                    <w:sz w:val="24"/>
                  </w:rPr>
                  <w:t>1</w:t>
                </w:r>
              </w:p>
              <w:p>
                <w:pPr>
                  <w:spacing w:before="0" w:after="0" w:line="480" w:lineRule="exact"/>
                  <w:jc w:val="right"/>
                </w:pPr>
                <w:r>
                  <w:rPr>
                    <w:rFonts w:ascii="Times New Roman" w:hAnsi="Times New Roman" w:cs="Times New Roman"/>
                    <w:sz w:val="24"/>
                  </w:rPr>
                  <w:t>2</w:t>
                </w:r>
              </w:p>
              <w:p>
                <w:pPr>
                  <w:spacing w:before="0" w:after="0" w:line="480" w:lineRule="exact"/>
                  <w:jc w:val="right"/>
                </w:pPr>
                <w:r>
                  <w:rPr>
                    <w:rFonts w:ascii="Times New Roman" w:hAnsi="Times New Roman" w:cs="Times New Roman"/>
                    <w:sz w:val="24"/>
                  </w:rPr>
                  <w:t>3</w:t>
                </w:r>
              </w:p>
              <w:p>
                <w:pPr>
                  <w:spacing w:before="0" w:after="0" w:line="480" w:lineRule="exact"/>
                  <w:jc w:val="right"/>
                </w:pPr>
                <w:r>
                  <w:rPr>
                    <w:rFonts w:ascii="Times New Roman" w:hAnsi="Times New Roman" w:cs="Times New Roman"/>
                    <w:sz w:val="24"/>
                  </w:rPr>
                  <w:t>4</w:t>
                </w:r>
              </w:p>
              <w:p>
                <w:pPr>
                  <w:spacing w:before="0" w:after="0" w:line="480" w:lineRule="exact"/>
                  <w:jc w:val="right"/>
                </w:pPr>
                <w:r>
                  <w:rPr>
                    <w:rFonts w:ascii="Times New Roman" w:hAnsi="Times New Roman" w:cs="Times New Roman"/>
                    <w:sz w:val="24"/>
                  </w:rPr>
                  <w:t>5</w:t>
                </w:r>
              </w:p>
              <w:p>
                <w:pPr>
                  <w:spacing w:before="0" w:after="0" w:line="480" w:lineRule="exact"/>
                  <w:jc w:val="right"/>
                </w:pPr>
                <w:r>
                  <w:rPr>
                    <w:rFonts w:ascii="Times New Roman" w:hAnsi="Times New Roman" w:cs="Times New Roman"/>
                    <w:sz w:val="24"/>
                  </w:rPr>
                  <w:t>6</w:t>
                </w:r>
              </w:p>
              <w:p>
                <w:pPr>
                  <w:spacing w:before="0" w:after="0" w:line="480" w:lineRule="exact"/>
                  <w:jc w:val="right"/>
                </w:pPr>
                <w:r>
                  <w:rPr>
                    <w:rFonts w:ascii="Times New Roman" w:hAnsi="Times New Roman" w:cs="Times New Roman"/>
                    <w:sz w:val="24"/>
                  </w:rPr>
                  <w:t>7</w:t>
                </w:r>
              </w:p>
              <w:p>
                <w:pPr>
                  <w:spacing w:before="0" w:after="0" w:line="480" w:lineRule="exact"/>
                  <w:jc w:val="right"/>
                </w:pPr>
                <w:r>
                  <w:rPr>
                    <w:rFonts w:ascii="Times New Roman" w:hAnsi="Times New Roman" w:cs="Times New Roman"/>
                    <w:sz w:val="24"/>
                  </w:rPr>
                  <w:t>8</w:t>
                </w:r>
              </w:p>
              <w:p>
                <w:pPr>
                  <w:spacing w:before="0" w:after="0" w:line="480" w:lineRule="exact"/>
                  <w:jc w:val="right"/>
                </w:pPr>
                <w:r>
                  <w:rPr>
                    <w:rFonts w:ascii="Times New Roman" w:hAnsi="Times New Roman" w:cs="Times New Roman"/>
                    <w:sz w:val="24"/>
                  </w:rPr>
                  <w:t>9</w:t>
                </w:r>
              </w:p>
              <w:p>
                <w:pPr>
                  <w:spacing w:before="0" w:after="0" w:line="480" w:lineRule="exact"/>
                  <w:jc w:val="right"/>
                </w:pPr>
                <w:r>
                  <w:rPr>
                    <w:rFonts w:ascii="Times New Roman" w:hAnsi="Times New Roman" w:cs="Times New Roman"/>
                    <w:sz w:val="24"/>
                  </w:rPr>
                  <w:t>10</w:t>
                </w:r>
              </w:p>
              <w:p>
                <w:pPr>
                  <w:spacing w:before="0" w:after="0" w:line="480" w:lineRule="exact"/>
                  <w:jc w:val="right"/>
                </w:pPr>
                <w:r>
                  <w:rPr>
                    <w:rFonts w:ascii="Times New Roman" w:hAnsi="Times New Roman" w:cs="Times New Roman"/>
                    <w:sz w:val="24"/>
                  </w:rPr>
                  <w:t>11</w:t>
                </w:r>
              </w:p>
              <w:p>
                <w:pPr>
                  <w:spacing w:before="0" w:after="0" w:line="480" w:lineRule="exact"/>
                  <w:jc w:val="right"/>
                </w:pPr>
                <w:r>
                  <w:rPr>
                    <w:rFonts w:ascii="Times New Roman" w:hAnsi="Times New Roman" w:cs="Times New Roman"/>
                    <w:sz w:val="24"/>
                  </w:rPr>
                  <w:t>12</w:t>
                </w:r>
              </w:p>
              <w:p>
                <w:pPr>
                  <w:spacing w:before="0" w:after="0" w:line="480" w:lineRule="exact"/>
                  <w:jc w:val="right"/>
                </w:pPr>
                <w:r>
                  <w:rPr>
                    <w:rFonts w:ascii="Times New Roman" w:hAnsi="Times New Roman" w:cs="Times New Roman"/>
                    <w:sz w:val="24"/>
                  </w:rPr>
                  <w:t>13</w:t>
                </w:r>
              </w:p>
              <w:p>
                <w:pPr>
                  <w:spacing w:before="0" w:after="0" w:line="480" w:lineRule="exact"/>
                  <w:jc w:val="right"/>
                </w:pPr>
                <w:r>
                  <w:rPr>
                    <w:rFonts w:ascii="Times New Roman" w:hAnsi="Times New Roman" w:cs="Times New Roman"/>
                    <w:sz w:val="24"/>
                  </w:rPr>
                  <w:t>14</w:t>
                </w:r>
              </w:p>
              <w:p>
                <w:pPr>
                  <w:spacing w:before="0" w:after="0" w:line="480" w:lineRule="exact"/>
                  <w:jc w:val="right"/>
                </w:pPr>
                <w:r>
                  <w:rPr>
                    <w:rFonts w:ascii="Times New Roman" w:hAnsi="Times New Roman" w:cs="Times New Roman"/>
                    <w:sz w:val="24"/>
                  </w:rPr>
                  <w:t>15</w:t>
                </w:r>
              </w:p>
              <w:p>
                <w:pPr>
                  <w:spacing w:before="0" w:after="0" w:line="480" w:lineRule="exact"/>
                  <w:jc w:val="right"/>
                </w:pPr>
                <w:r>
                  <w:rPr>
                    <w:rFonts w:ascii="Times New Roman" w:hAnsi="Times New Roman" w:cs="Times New Roman"/>
                    <w:sz w:val="24"/>
                  </w:rPr>
                  <w:t>16</w:t>
                </w:r>
              </w:p>
              <w:p>
                <w:pPr>
                  <w:spacing w:before="0" w:after="0" w:line="480" w:lineRule="exact"/>
                  <w:jc w:val="right"/>
                </w:pPr>
                <w:r>
                  <w:rPr>
                    <w:rFonts w:ascii="Times New Roman" w:hAnsi="Times New Roman" w:cs="Times New Roman"/>
                    <w:sz w:val="24"/>
                  </w:rPr>
                  <w:t>17</w:t>
                </w:r>
              </w:p>
              <w:p>
                <w:pPr>
                  <w:spacing w:before="0" w:after="0" w:line="480" w:lineRule="exact"/>
                  <w:jc w:val="right"/>
                </w:pPr>
                <w:r>
                  <w:rPr>
                    <w:rFonts w:ascii="Times New Roman" w:hAnsi="Times New Roman" w:cs="Times New Roman"/>
                    <w:sz w:val="24"/>
                  </w:rPr>
                  <w:t>18</w:t>
                </w:r>
              </w:p>
              <w:p>
                <w:pPr>
                  <w:spacing w:before="0" w:after="0" w:line="480" w:lineRule="exact"/>
                  <w:jc w:val="right"/>
                </w:pPr>
                <w:r>
                  <w:rPr>
                    <w:rFonts w:ascii="Times New Roman" w:hAnsi="Times New Roman" w:cs="Times New Roman"/>
                    <w:sz w:val="24"/>
                  </w:rPr>
                  <w:t>19</w:t>
                </w:r>
              </w:p>
              <w:p>
                <w:pPr>
                  <w:spacing w:before="0" w:after="0" w:line="480" w:lineRule="exact"/>
                  <w:jc w:val="right"/>
                </w:pPr>
                <w:r>
                  <w:rPr>
                    <w:rFonts w:ascii="Times New Roman" w:hAnsi="Times New Roman" w:cs="Times New Roman"/>
                    <w:sz w:val="24"/>
                  </w:rPr>
                  <w:t>20</w:t>
                </w:r>
              </w:p>
              <w:p>
                <w:pPr>
                  <w:spacing w:before="0" w:after="0" w:line="480" w:lineRule="exact"/>
                  <w:jc w:val="right"/>
                </w:pPr>
                <w:r>
                  <w:rPr>
                    <w:rFonts w:ascii="Times New Roman" w:hAnsi="Times New Roman" w:cs="Times New Roman"/>
                    <w:sz w:val="24"/>
                  </w:rPr>
                  <w:t>21</w:t>
                </w:r>
              </w:p>
              <w:p>
                <w:pPr>
                  <w:spacing w:before="0" w:after="0" w:line="480" w:lineRule="exact"/>
                  <w:jc w:val="right"/>
                </w:pPr>
                <w:r>
                  <w:rPr>
                    <w:rFonts w:ascii="Times New Roman" w:hAnsi="Times New Roman" w:cs="Times New Roman"/>
                    <w:sz w:val="24"/>
                  </w:rPr>
                  <w:t>22</w:t>
                </w:r>
              </w:p>
              <w:p>
                <w:pPr>
                  <w:spacing w:before="0" w:after="0" w:line="480" w:lineRule="exact"/>
                  <w:jc w:val="right"/>
                </w:pPr>
                <w:r>
                  <w:rPr>
                    <w:rFonts w:ascii="Times New Roman" w:hAnsi="Times New Roman" w:cs="Times New Roman"/>
                    <w:sz w:val="24"/>
                  </w:rPr>
                  <w:t>23</w:t>
                </w:r>
              </w:p>
              <w:p>
                <w:pPr>
                  <w:spacing w:before="0" w:after="0" w:line="480" w:lineRule="exact"/>
                  <w:jc w:val="right"/>
                </w:pPr>
                <w:r>
                  <w:rPr>
                    <w:rFonts w:ascii="Times New Roman" w:hAnsi="Times New Roman" w:cs="Times New Roman"/>
                    <w:sz w:val="24"/>
                  </w:rPr>
                  <w:t>24</w:t>
                </w:r>
              </w:p>
              <w:p>
                <w:pPr>
                  <w:spacing w:before="0" w:after="0" w:line="480" w:lineRule="exact"/>
                  <w:jc w:val="right"/>
                </w:pPr>
                <w:r>
                  <w:rPr>
                    <w:rFonts w:ascii="Times New Roman" w:hAnsi="Times New Roman" w:cs="Times New Roman"/>
                    <w:sz w:val="24"/>
                  </w:rPr>
                  <w:t>25</w:t>
                </w:r>
              </w:p>
              <w:p>
                <w:pPr>
                  <w:spacing w:before="0" w:after="0" w:line="480" w:lineRule="exact"/>
                  <w:jc w:val="right"/>
                </w:pPr>
                <w:r>
                  <w:rPr>
                    <w:rFonts w:ascii="Times New Roman" w:hAnsi="Times New Roman" w:cs="Times New Roman"/>
                    <w:sz w:val="24"/>
                  </w:rPr>
                  <w:t>26</w:t>
                </w:r>
              </w:p>
              <w:p>
                <w:pPr>
                  <w:spacing w:before="0" w:after="0" w:line="480" w:lineRule="exact"/>
                  <w:jc w:val="right"/>
                </w:pPr>
                <w:r>
                  <w:rPr>
                    <w:rFonts w:ascii="Times New Roman" w:hAnsi="Times New Roman" w:cs="Times New Roman"/>
                    <w:sz w:val="24"/>
                  </w:rPr>
                  <w:t>27</w:t>
                </w:r>
              </w:p>
              <w:p>
                <w:pPr>
                  <w:spacing w:before="0" w:after="0" w:line="480" w:lineRule="exact"/>
                  <w:jc w:val="right"/>
                </w:pPr>
                <w:r>
                  <w:rPr>
                    <w:rFonts w:ascii="Times New Roman" w:hAnsi="Times New Roman" w:cs="Times New Roman"/>
                    <w:sz w:val="24"/>
                  </w:rPr>
                  <w:t>28</w:t>
                </w:r>
              </w:p>
            </w:txbxContent>
          </v:textbox>
        </v:shape>
      </w:pic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tabs>
          <w:tab w:val="num" w:pos="1440"/>
        </w:tabs>
        <w:ind w:left="0" w:firstLine="72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tabs>
          <w:tab w:val="num" w:pos="1440"/>
        </w:tabs>
        <w:ind w:left="0" w:firstLine="72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206">
    <w:nsid w:val="A99206"/>
    <w:multiLevelType w:val="multilevel"/>
    <w:lvl w:ilvl="0">
      <w:start w:val="6"/>
      <w:numFmt w:val="decimal"/>
      <w:lvlText w:val="%1."/>
      <w:lvlJc w:val="left"/>
      <w:pPr>
        <w:tabs>
          <w:tab w:val="num" w:pos="1440"/>
        </w:tabs>
        <w:ind w:left="0" w:firstLine="720"/>
      </w:pPr>
    </w:lvl>
    <w:lvl w:ilvl="1">
      <w:start w:val="6"/>
      <w:numFmt w:val="lowerLetter"/>
      <w:lvlText w:val="%2."/>
      <w:lvlJc w:val="left"/>
      <w:pPr>
        <w:ind w:left="1440" w:hanging="480"/>
      </w:pPr>
    </w:lvl>
    <w:lvl w:ilvl="2">
      <w:start w:val="6"/>
      <w:numFmt w:val="lowerRoman"/>
      <w:lvlText w:val="%3."/>
      <w:lvlJc w:val="left"/>
      <w:pPr>
        <w:ind w:left="2160" w:hanging="480"/>
      </w:pPr>
    </w:lvl>
    <w:lvl w:ilvl="3">
      <w:start w:val="6"/>
      <w:numFmt w:val="decimal"/>
      <w:lvlText w:val="%4."/>
      <w:lvlJc w:val="left"/>
      <w:pPr>
        <w:ind w:left="2880" w:hanging="480"/>
      </w:pPr>
    </w:lvl>
    <w:lvl w:ilvl="4">
      <w:start w:val="6"/>
      <w:numFmt w:val="lowerLetter"/>
      <w:lvlText w:val="%5."/>
      <w:lvlJc w:val="left"/>
      <w:pPr>
        <w:ind w:left="3600" w:hanging="480"/>
      </w:pPr>
    </w:lvl>
    <w:lvl w:ilvl="5">
      <w:start w:val="6"/>
      <w:numFmt w:val="lowerRoman"/>
      <w:lvlText w:val="%6."/>
      <w:lvlJc w:val="left"/>
      <w:pPr>
        <w:ind w:left="4320" w:hanging="480"/>
      </w:pPr>
    </w:lvl>
    <w:lvl w:ilvl="6">
      <w:start w:val="6"/>
      <w:numFmt w:val="decimal"/>
      <w:lvlText w:val="%7."/>
      <w:lvlJc w:val="left"/>
      <w:pPr>
        <w:ind w:left="5040" w:hanging="480"/>
      </w:pPr>
    </w:lvl>
    <w:lvl w:ilvl="7">
      <w:start w:val="6"/>
      <w:numFmt w:val="lowerLetter"/>
      <w:lvlText w:val="%8."/>
      <w:lvlJc w:val="left"/>
      <w:pPr>
        <w:ind w:left="5760" w:hanging="480"/>
      </w:pPr>
    </w:lvl>
    <w:lvl w:ilvl="8">
      <w:start w:val="6"/>
      <w:numFmt w:val="lowerRoman"/>
      <w:lvlText w:val="%9."/>
      <w:lvlJc w:val="left"/>
      <w:pPr>
        <w:ind w:left="6480" w:hanging="480"/>
      </w:pPr>
    </w:lvl>
  </w:abstractNum>
  <w:abstractNum w:abstractNumId="99209">
    <w:nsid w:val="A99209"/>
    <w:multiLevelType w:val="multilevel"/>
    <w:lvl w:ilvl="0">
      <w:start w:val="9"/>
      <w:numFmt w:val="decimal"/>
      <w:lvlText w:val="%1."/>
      <w:lvlJc w:val="left"/>
      <w:pPr>
        <w:tabs>
          <w:tab w:val="num" w:pos="1440"/>
        </w:tabs>
        <w:ind w:left="0" w:firstLine="720"/>
      </w:pPr>
    </w:lvl>
    <w:lvl w:ilvl="1">
      <w:start w:val="9"/>
      <w:numFmt w:val="lowerLetter"/>
      <w:lvlText w:val="%2."/>
      <w:lvlJc w:val="left"/>
      <w:pPr>
        <w:ind w:left="1440" w:hanging="480"/>
      </w:pPr>
    </w:lvl>
    <w:lvl w:ilvl="2">
      <w:start w:val="9"/>
      <w:numFmt w:val="lowerRoman"/>
      <w:lvlText w:val="%3."/>
      <w:lvlJc w:val="left"/>
      <w:pPr>
        <w:ind w:left="2160" w:hanging="480"/>
      </w:pPr>
    </w:lvl>
    <w:lvl w:ilvl="3">
      <w:start w:val="9"/>
      <w:numFmt w:val="decimal"/>
      <w:lvlText w:val="%4."/>
      <w:lvlJc w:val="left"/>
      <w:pPr>
        <w:ind w:left="2880" w:hanging="480"/>
      </w:pPr>
    </w:lvl>
    <w:lvl w:ilvl="4">
      <w:start w:val="9"/>
      <w:numFmt w:val="lowerLetter"/>
      <w:lvlText w:val="%5."/>
      <w:lvlJc w:val="left"/>
      <w:pPr>
        <w:ind w:left="3600" w:hanging="480"/>
      </w:pPr>
    </w:lvl>
    <w:lvl w:ilvl="5">
      <w:start w:val="9"/>
      <w:numFmt w:val="lowerRoman"/>
      <w:lvlText w:val="%6."/>
      <w:lvlJc w:val="left"/>
      <w:pPr>
        <w:ind w:left="4320" w:hanging="480"/>
      </w:pPr>
    </w:lvl>
    <w:lvl w:ilvl="6">
      <w:start w:val="9"/>
      <w:numFmt w:val="decimal"/>
      <w:lvlText w:val="%7."/>
      <w:lvlJc w:val="left"/>
      <w:pPr>
        <w:ind w:left="5040" w:hanging="480"/>
      </w:pPr>
    </w:lvl>
    <w:lvl w:ilvl="7">
      <w:start w:val="9"/>
      <w:numFmt w:val="lowerLetter"/>
      <w:lvlText w:val="%8."/>
      <w:lvlJc w:val="left"/>
      <w:pPr>
        <w:ind w:left="5760" w:hanging="480"/>
      </w:pPr>
    </w:lvl>
    <w:lvl w:ilvl="8">
      <w:start w:val="9"/>
      <w:numFmt w:val="lowerRoman"/>
      <w:lvlText w:val="%9."/>
      <w:lvlJc w:val="left"/>
      <w:pPr>
        <w:ind w:left="6480" w:hanging="480"/>
      </w:pPr>
    </w:lvl>
  </w:abstractNum>
  <w:abstractNum w:abstractNumId="992011">
    <w:nsid w:val="A992011"/>
    <w:multiLevelType w:val="multilevel"/>
    <w:lvl w:ilvl="0">
      <w:start w:val="11"/>
      <w:numFmt w:val="decimal"/>
      <w:lvlText w:val="%1."/>
      <w:lvlJc w:val="left"/>
      <w:pPr>
        <w:tabs>
          <w:tab w:val="num" w:pos="1440"/>
        </w:tabs>
        <w:ind w:left="0" w:firstLine="720"/>
      </w:pPr>
    </w:lvl>
    <w:lvl w:ilvl="1">
      <w:start w:val="11"/>
      <w:numFmt w:val="lowerLetter"/>
      <w:lvlText w:val="%2."/>
      <w:lvlJc w:val="left"/>
      <w:pPr>
        <w:ind w:left="1440" w:hanging="480"/>
      </w:pPr>
    </w:lvl>
    <w:lvl w:ilvl="2">
      <w:start w:val="11"/>
      <w:numFmt w:val="lowerRoman"/>
      <w:lvlText w:val="%3."/>
      <w:lvlJc w:val="left"/>
      <w:pPr>
        <w:ind w:left="2160" w:hanging="480"/>
      </w:pPr>
    </w:lvl>
    <w:lvl w:ilvl="3">
      <w:start w:val="11"/>
      <w:numFmt w:val="decimal"/>
      <w:lvlText w:val="%4."/>
      <w:lvlJc w:val="left"/>
      <w:pPr>
        <w:ind w:left="2880" w:hanging="480"/>
      </w:pPr>
    </w:lvl>
    <w:lvl w:ilvl="4">
      <w:start w:val="11"/>
      <w:numFmt w:val="lowerLetter"/>
      <w:lvlText w:val="%5."/>
      <w:lvlJc w:val="left"/>
      <w:pPr>
        <w:ind w:left="3600" w:hanging="480"/>
      </w:pPr>
    </w:lvl>
    <w:lvl w:ilvl="5">
      <w:start w:val="11"/>
      <w:numFmt w:val="lowerRoman"/>
      <w:lvlText w:val="%6."/>
      <w:lvlJc w:val="left"/>
      <w:pPr>
        <w:ind w:left="4320" w:hanging="480"/>
      </w:pPr>
    </w:lvl>
    <w:lvl w:ilvl="6">
      <w:start w:val="11"/>
      <w:numFmt w:val="decimal"/>
      <w:lvlText w:val="%7."/>
      <w:lvlJc w:val="left"/>
      <w:pPr>
        <w:ind w:left="5040" w:hanging="480"/>
      </w:pPr>
    </w:lvl>
    <w:lvl w:ilvl="7">
      <w:start w:val="11"/>
      <w:numFmt w:val="lowerLetter"/>
      <w:lvlText w:val="%8."/>
      <w:lvlJc w:val="left"/>
      <w:pPr>
        <w:ind w:left="5760" w:hanging="480"/>
      </w:pPr>
    </w:lvl>
    <w:lvl w:ilvl="8">
      <w:start w:val="11"/>
      <w:numFmt w:val="lowerRoman"/>
      <w:lvlText w:val="%9."/>
      <w:lvlJc w:val="left"/>
      <w:pPr>
        <w:ind w:left="6480" w:hanging="480"/>
      </w:pPr>
    </w:lvl>
  </w:abstractNum>
  <w:abstractNum w:abstractNumId="992019">
    <w:nsid w:val="A992019"/>
    <w:multiLevelType w:val="multilevel"/>
    <w:lvl w:ilvl="0">
      <w:start w:val="19"/>
      <w:numFmt w:val="decimal"/>
      <w:lvlText w:val="%1."/>
      <w:lvlJc w:val="left"/>
      <w:pPr>
        <w:tabs>
          <w:tab w:val="num" w:pos="1440"/>
        </w:tabs>
        <w:ind w:left="0" w:firstLine="720"/>
      </w:pPr>
    </w:lvl>
    <w:lvl w:ilvl="1">
      <w:start w:val="19"/>
      <w:numFmt w:val="lowerLetter"/>
      <w:lvlText w:val="%2."/>
      <w:lvlJc w:val="left"/>
      <w:pPr>
        <w:ind w:left="1440" w:hanging="480"/>
      </w:pPr>
    </w:lvl>
    <w:lvl w:ilvl="2">
      <w:start w:val="19"/>
      <w:numFmt w:val="lowerRoman"/>
      <w:lvlText w:val="%3."/>
      <w:lvlJc w:val="left"/>
      <w:pPr>
        <w:ind w:left="2160" w:hanging="480"/>
      </w:pPr>
    </w:lvl>
    <w:lvl w:ilvl="3">
      <w:start w:val="19"/>
      <w:numFmt w:val="decimal"/>
      <w:lvlText w:val="%4."/>
      <w:lvlJc w:val="left"/>
      <w:pPr>
        <w:ind w:left="2880" w:hanging="480"/>
      </w:pPr>
    </w:lvl>
    <w:lvl w:ilvl="4">
      <w:start w:val="19"/>
      <w:numFmt w:val="lowerLetter"/>
      <w:lvlText w:val="%5."/>
      <w:lvlJc w:val="left"/>
      <w:pPr>
        <w:ind w:left="3600" w:hanging="480"/>
      </w:pPr>
    </w:lvl>
    <w:lvl w:ilvl="5">
      <w:start w:val="19"/>
      <w:numFmt w:val="lowerRoman"/>
      <w:lvlText w:val="%6."/>
      <w:lvlJc w:val="left"/>
      <w:pPr>
        <w:ind w:left="4320" w:hanging="480"/>
      </w:pPr>
    </w:lvl>
    <w:lvl w:ilvl="6">
      <w:start w:val="19"/>
      <w:numFmt w:val="decimal"/>
      <w:lvlText w:val="%7."/>
      <w:lvlJc w:val="left"/>
      <w:pPr>
        <w:ind w:left="5040" w:hanging="480"/>
      </w:pPr>
    </w:lvl>
    <w:lvl w:ilvl="7">
      <w:start w:val="19"/>
      <w:numFmt w:val="lowerLetter"/>
      <w:lvlText w:val="%8."/>
      <w:lvlJc w:val="left"/>
      <w:pPr>
        <w:ind w:left="5760" w:hanging="480"/>
      </w:pPr>
    </w:lvl>
    <w:lvl w:ilvl="8">
      <w:start w:val="19"/>
      <w:numFmt w:val="lowerRoman"/>
      <w:lvlText w:val="%9."/>
      <w:lvlJc w:val="left"/>
      <w:pPr>
        <w:ind w:left="6480" w:hanging="480"/>
      </w:pPr>
    </w:lvl>
  </w:abstractNum>
  <w:abstractNum w:abstractNumId="992021">
    <w:nsid w:val="A992021"/>
    <w:multiLevelType w:val="multilevel"/>
    <w:lvl w:ilvl="0">
      <w:start w:val="21"/>
      <w:numFmt w:val="decimal"/>
      <w:lvlText w:val="%1."/>
      <w:lvlJc w:val="left"/>
      <w:pPr>
        <w:tabs>
          <w:tab w:val="num" w:pos="1440"/>
        </w:tabs>
        <w:ind w:left="0" w:firstLine="720"/>
      </w:pPr>
    </w:lvl>
    <w:lvl w:ilvl="1">
      <w:start w:val="21"/>
      <w:numFmt w:val="lowerLetter"/>
      <w:lvlText w:val="%2."/>
      <w:lvlJc w:val="left"/>
      <w:pPr>
        <w:ind w:left="1440" w:hanging="480"/>
      </w:pPr>
    </w:lvl>
    <w:lvl w:ilvl="2">
      <w:start w:val="21"/>
      <w:numFmt w:val="lowerRoman"/>
      <w:lvlText w:val="%3."/>
      <w:lvlJc w:val="left"/>
      <w:pPr>
        <w:ind w:left="2160" w:hanging="480"/>
      </w:pPr>
    </w:lvl>
    <w:lvl w:ilvl="3">
      <w:start w:val="21"/>
      <w:numFmt w:val="decimal"/>
      <w:lvlText w:val="%4."/>
      <w:lvlJc w:val="left"/>
      <w:pPr>
        <w:ind w:left="2880" w:hanging="480"/>
      </w:pPr>
    </w:lvl>
    <w:lvl w:ilvl="4">
      <w:start w:val="21"/>
      <w:numFmt w:val="lowerLetter"/>
      <w:lvlText w:val="%5."/>
      <w:lvlJc w:val="left"/>
      <w:pPr>
        <w:ind w:left="3600" w:hanging="480"/>
      </w:pPr>
    </w:lvl>
    <w:lvl w:ilvl="5">
      <w:start w:val="21"/>
      <w:numFmt w:val="lowerRoman"/>
      <w:lvlText w:val="%6."/>
      <w:lvlJc w:val="left"/>
      <w:pPr>
        <w:ind w:left="4320" w:hanging="480"/>
      </w:pPr>
    </w:lvl>
    <w:lvl w:ilvl="6">
      <w:start w:val="21"/>
      <w:numFmt w:val="decimal"/>
      <w:lvlText w:val="%7."/>
      <w:lvlJc w:val="left"/>
      <w:pPr>
        <w:ind w:left="5040" w:hanging="480"/>
      </w:pPr>
    </w:lvl>
    <w:lvl w:ilvl="7">
      <w:start w:val="21"/>
      <w:numFmt w:val="lowerLetter"/>
      <w:lvlText w:val="%8."/>
      <w:lvlJc w:val="left"/>
      <w:pPr>
        <w:ind w:left="5760" w:hanging="480"/>
      </w:pPr>
    </w:lvl>
    <w:lvl w:ilvl="8">
      <w:start w:val="21"/>
      <w:numFmt w:val="lowerRoman"/>
      <w:lvlText w:val="%9."/>
      <w:lvlJc w:val="left"/>
      <w:pPr>
        <w:ind w:left="6480" w:hanging="480"/>
      </w:pPr>
    </w:lvl>
  </w:abstractNum>
  <w:abstractNum w:abstractNumId="992022">
    <w:nsid w:val="A992022"/>
    <w:multiLevelType w:val="multilevel"/>
    <w:lvl w:ilvl="0">
      <w:start w:val="22"/>
      <w:numFmt w:val="decimal"/>
      <w:lvlText w:val="%1."/>
      <w:lvlJc w:val="left"/>
      <w:pPr>
        <w:tabs>
          <w:tab w:val="num" w:pos="1440"/>
        </w:tabs>
        <w:ind w:left="0" w:firstLine="720"/>
      </w:pPr>
    </w:lvl>
    <w:lvl w:ilvl="1">
      <w:start w:val="22"/>
      <w:numFmt w:val="lowerLetter"/>
      <w:lvlText w:val="%2."/>
      <w:lvlJc w:val="left"/>
      <w:pPr>
        <w:ind w:left="1440" w:hanging="480"/>
      </w:pPr>
    </w:lvl>
    <w:lvl w:ilvl="2">
      <w:start w:val="22"/>
      <w:numFmt w:val="lowerRoman"/>
      <w:lvlText w:val="%3."/>
      <w:lvlJc w:val="left"/>
      <w:pPr>
        <w:ind w:left="2160" w:hanging="480"/>
      </w:pPr>
    </w:lvl>
    <w:lvl w:ilvl="3">
      <w:start w:val="22"/>
      <w:numFmt w:val="decimal"/>
      <w:lvlText w:val="%4."/>
      <w:lvlJc w:val="left"/>
      <w:pPr>
        <w:ind w:left="2880" w:hanging="480"/>
      </w:pPr>
    </w:lvl>
    <w:lvl w:ilvl="4">
      <w:start w:val="22"/>
      <w:numFmt w:val="lowerLetter"/>
      <w:lvlText w:val="%5."/>
      <w:lvlJc w:val="left"/>
      <w:pPr>
        <w:ind w:left="3600" w:hanging="480"/>
      </w:pPr>
    </w:lvl>
    <w:lvl w:ilvl="5">
      <w:start w:val="22"/>
      <w:numFmt w:val="lowerRoman"/>
      <w:lvlText w:val="%6."/>
      <w:lvlJc w:val="left"/>
      <w:pPr>
        <w:ind w:left="4320" w:hanging="480"/>
      </w:pPr>
    </w:lvl>
    <w:lvl w:ilvl="6">
      <w:start w:val="22"/>
      <w:numFmt w:val="decimal"/>
      <w:lvlText w:val="%7."/>
      <w:lvlJc w:val="left"/>
      <w:pPr>
        <w:ind w:left="5040" w:hanging="480"/>
      </w:pPr>
    </w:lvl>
    <w:lvl w:ilvl="7">
      <w:start w:val="22"/>
      <w:numFmt w:val="lowerLetter"/>
      <w:lvlText w:val="%8."/>
      <w:lvlJc w:val="left"/>
      <w:pPr>
        <w:ind w:left="5760" w:hanging="480"/>
      </w:pPr>
    </w:lvl>
    <w:lvl w:ilvl="8">
      <w:start w:val="22"/>
      <w:numFmt w:val="lowerRoman"/>
      <w:lvlText w:val="%9."/>
      <w:lvlJc w:val="left"/>
      <w:pPr>
        <w:ind w:left="6480" w:hanging="480"/>
      </w:pPr>
    </w:lvl>
  </w:abstractNum>
  <w:abstractNum w:abstractNumId="992025">
    <w:nsid w:val="A992025"/>
    <w:multiLevelType w:val="multilevel"/>
    <w:lvl w:ilvl="0">
      <w:start w:val="25"/>
      <w:numFmt w:val="decimal"/>
      <w:lvlText w:val="%1."/>
      <w:lvlJc w:val="left"/>
      <w:pPr>
        <w:tabs>
          <w:tab w:val="num" w:pos="1440"/>
        </w:tabs>
        <w:ind w:left="0" w:firstLine="720"/>
      </w:pPr>
    </w:lvl>
    <w:lvl w:ilvl="1">
      <w:start w:val="25"/>
      <w:numFmt w:val="lowerLetter"/>
      <w:lvlText w:val="%2."/>
      <w:lvlJc w:val="left"/>
      <w:pPr>
        <w:ind w:left="1440" w:hanging="480"/>
      </w:pPr>
    </w:lvl>
    <w:lvl w:ilvl="2">
      <w:start w:val="25"/>
      <w:numFmt w:val="lowerRoman"/>
      <w:lvlText w:val="%3."/>
      <w:lvlJc w:val="left"/>
      <w:pPr>
        <w:ind w:left="2160" w:hanging="480"/>
      </w:pPr>
    </w:lvl>
    <w:lvl w:ilvl="3">
      <w:start w:val="25"/>
      <w:numFmt w:val="decimal"/>
      <w:lvlText w:val="%4."/>
      <w:lvlJc w:val="left"/>
      <w:pPr>
        <w:ind w:left="2880" w:hanging="480"/>
      </w:pPr>
    </w:lvl>
    <w:lvl w:ilvl="4">
      <w:start w:val="25"/>
      <w:numFmt w:val="lowerLetter"/>
      <w:lvlText w:val="%5."/>
      <w:lvlJc w:val="left"/>
      <w:pPr>
        <w:ind w:left="3600" w:hanging="480"/>
      </w:pPr>
    </w:lvl>
    <w:lvl w:ilvl="5">
      <w:start w:val="25"/>
      <w:numFmt w:val="lowerRoman"/>
      <w:lvlText w:val="%6."/>
      <w:lvlJc w:val="left"/>
      <w:pPr>
        <w:ind w:left="4320" w:hanging="480"/>
      </w:pPr>
    </w:lvl>
    <w:lvl w:ilvl="6">
      <w:start w:val="25"/>
      <w:numFmt w:val="decimal"/>
      <w:lvlText w:val="%7."/>
      <w:lvlJc w:val="left"/>
      <w:pPr>
        <w:ind w:left="5040" w:hanging="480"/>
      </w:pPr>
    </w:lvl>
    <w:lvl w:ilvl="7">
      <w:start w:val="25"/>
      <w:numFmt w:val="lowerLetter"/>
      <w:lvlText w:val="%8."/>
      <w:lvlJc w:val="left"/>
      <w:pPr>
        <w:ind w:left="5760" w:hanging="480"/>
      </w:pPr>
    </w:lvl>
    <w:lvl w:ilvl="8">
      <w:start w:val="25"/>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2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4">
    <w:abstractNumId w:val="992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5">
    <w:abstractNumId w:val="9920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6">
    <w:abstractNumId w:val="9920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7">
    <w:abstractNumId w:val="9920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8">
    <w:abstractNumId w:val="9920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09">
    <w:abstractNumId w:val="9920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Times New Roman" w:cs="Times New Roman" w:eastAsia="Times New Roman" w:hAnsi="Times New Roman"/>
      <w:color w:val="000000"/>
      <w:sz w:val="24"/>
    </w:rPr>
  </w:style>
  <w:style w:styleId="BodyText" w:type="paragraph">
    <w:name w:val="Body Text"/>
    <w:basedOn w:val="Normal"/>
    <w:link w:val="BodyTextChar"/>
    <w:pPr>
      <w:spacing w:after="0" w:before="0" w:line="240" w:lineRule="auto"/>
    </w:pPr>
    <w:qFormat/>
    <w:rPr>
      <w:rFonts w:ascii="Times New Roman" w:cs="Times New Roman" w:eastAsia="Times New Roman" w:hAnsi="Times New Roman"/>
      <w:color w:val="000000"/>
      <w:sz w:val="24"/>
    </w:rPr>
  </w:style>
  <w:style w:customStyle="1" w:styleId="FirstParagraph" w:type="paragraph">
    <w:name w:val="First Paragraph"/>
    <w:basedOn w:val="BodyText"/>
    <w:next w:val="BodyText"/>
    <w:qFormat/>
    <w:pPr>
      <w:spacing w:after="0" w:before="0" w:line="240" w:lineRule="auto"/>
    </w:pPr>
    <w:rPr>
      <w:rFonts w:ascii="Times New Roman" w:cs="Times New Roman" w:eastAsia="Times New Roman" w:hAnsi="Times New Roman"/>
      <w:color w:val="000000"/>
      <w:sz w:val="24"/>
    </w:rPr>
  </w:style>
  <w:style w:customStyle="1" w:styleId="Compact" w:type="paragraph">
    <w:name w:val="Compact"/>
    <w:basedOn w:val="BodyText"/>
    <w:qFormat/>
    <w:pPr>
      <w:spacing w:after="0" w:before="0" w:line="240" w:lineRule="auto"/>
    </w:pPr>
    <w:rPr>
      <w:rFonts w:ascii="Times New Roman" w:cs="Times New Roman" w:eastAsia="Times New Roman" w:hAnsi="Times New Roman"/>
      <w:color w:val="000000"/>
      <w:sz w:val="24"/>
    </w:rPr>
  </w:style>
  <w:style w:styleId="Title" w:type="paragraph">
    <w:name w:val="Title"/>
    <w:basedOn w:val="Normal"/>
    <w:next w:val="BodyText"/>
    <w:qFormat/>
    <w:pPr>
      <w:keepNext/>
      <w:keepLines/>
      <w:spacing w:after="160" w:before="480"/>
      <w:jc w:val="left"/>
    </w:pPr>
    <w:rPr>
      <w:rFonts w:ascii="Times New Roman" w:cs="Times New Roman" w:eastAsia="Times New Roman" w:hAnsi="Times New Roman"/>
      <w:b/>
      <w:bCs/>
      <w:color w:val="1A2B3C"/>
      <w:sz w:val="40"/>
      <w:szCs w:val="36"/>
    </w:rPr>
  </w:style>
  <w:style w:styleId="Subtitle" w:type="paragraph">
    <w:name w:val="Subtitle"/>
    <w:basedOn w:val="Title"/>
    <w:next w:val="BodyText"/>
    <w:qFormat/>
    <w:pPr>
      <w:keepNext/>
      <w:keepLines/>
      <w:spacing w:after="160" w:before="240"/>
      <w:jc w:val="left"/>
    </w:pPr>
    <w:rPr>
      <w:rFonts w:ascii="Times New Roman" w:cs="Times New Roman" w:eastAsia="Times New Roman" w:hAnsi="Times New Roman"/>
      <w:color w:val="1A2B3C"/>
      <w:sz w:val="22"/>
      <w:szCs w:val="30"/>
    </w:rPr>
  </w:style>
  <w:style w:customStyle="1" w:styleId="Author" w:type="paragraph">
    <w:name w:val="Author"/>
    <w:next w:val="BodyText"/>
    <w:qFormat/>
    <w:pPr>
      <w:keepNext/>
      <w:keepLines/>
      <w:jc w:val="center"/>
    </w:pPr>
    <w:rPr>
      <w:rFonts w:ascii="Times New Roman" w:cs="Times New Roman" w:eastAsia="Times New Roman" w:hAnsi="Times New Roman"/>
      <w:color w:val="000000"/>
    </w:rPr>
  </w:style>
  <w:style w:styleId="Date" w:type="paragraph">
    <w:name w:val="Date"/>
    <w:next w:val="BodyText"/>
    <w:qFormat/>
    <w:pPr>
      <w:keepNext/>
      <w:keepLines/>
      <w:jc w:val="center"/>
    </w:pPr>
    <w:rPr>
      <w:rFonts w:ascii="Times New Roman" w:cs="Times New Roman" w:eastAsia="Times New Roman" w:hAnsi="Times New Roman"/>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Times New Roman" w:cs="Times New Roman" w:eastAsia="Times New Roman" w:hAnsi="Times New Roman"/>
      <w:b/>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color w:val="000000"/>
      <w:sz w:val="20"/>
      <w:szCs w:val="20"/>
    </w:rPr>
  </w:style>
  <w:style w:styleId="Bibliography" w:type="paragraph">
    <w:name w:val="Bibliography"/>
    <w:basedOn w:val="Normal"/>
    <w:next w:val="Bibliography"/>
    <w:qFormat/>
    <w:pPr/>
    <w:rPr>
      <w:rFonts w:ascii="Times New Roman" w:cs="Times New Roman" w:eastAsia="Times New Roman" w:hAnsi="Times New Roman"/>
      <w:color w:val="000000"/>
    </w:rPr>
  </w:style>
  <w:style w:styleId="Heading1" w:type="paragraph">
    <w:name w:val="Heading 1"/>
    <w:basedOn w:val="Normal"/>
    <w:next w:val="BodyText"/>
    <w:uiPriority w:val="9"/>
    <w:qFormat/>
    <w:pPr>
      <w:keepNext/>
      <w:keepLines/>
      <w:spacing w:after="120" w:before="280"/>
      <w:outlineLvl w:val="0"/>
    </w:pPr>
    <w:rPr>
      <w:rFonts w:ascii="Times New Roman" w:cs="Times New Roman" w:eastAsia="Times New Roman" w:hAnsi="Times New Roman"/>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Times New Roman" w:cs="Times New Roman" w:eastAsia="Times New Roman" w:hAnsi="Times New Roman"/>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Times New Roman" w:cs="Times New Roman" w:eastAsia="Times New Roman" w:hAnsi="Times New Roman"/>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Times New Roman" w:cs="Times New Roman" w:eastAsia="Times New Roman" w:hAnsi="Times New Roman"/>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Times New Roman" w:cs="Times New Roman" w:eastAsia="Times New Roman" w:hAnsi="Times New Roman"/>
      <w:color w:val="000000"/>
      <w:sz w:val="24"/>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rPr>
  </w:style>
  <w:style w:default="1" w:styleId="DefaultParagraphFont" w:type="character">
    <w:name w:val="Default Paragraph Font"/>
    <w:semiHidden/>
    <w:unhideWhenUsed/>
    <w:rPr>
      <w:rFonts w:ascii="Times New Roman" w:cs="Times New Roman" w:eastAsia="Times New Roman" w:hAnsi="Times New Roman"/>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color w:val="000000"/>
    </w:rPr>
  </w:style>
  <w:style w:customStyle="1" w:styleId="Definition" w:type="paragraph">
    <w:name w:val="Definition"/>
    <w:basedOn w:val="Normal"/>
    <w:rPr>
      <w:rFonts w:ascii="Times New Roman" w:cs="Times New Roman" w:eastAsia="Times New Roman" w:hAnsi="Times New Roman"/>
      <w:color w:val="000000"/>
    </w:rPr>
  </w:style>
  <w:style w:styleId="Caption" w:type="paragraph">
    <w:name w:val="Caption"/>
    <w:basedOn w:val="Normal"/>
    <w:link w:val="BodyTextChar"/>
    <w:pPr>
      <w:spacing w:after="120" w:before="0"/>
    </w:pPr>
    <w:rPr>
      <w:rFonts w:ascii="Times New Roman" w:cs="Times New Roman" w:eastAsia="Times New Roman" w:hAnsi="Times New Roman"/>
      <w:i/>
      <w:color w:val="000000"/>
    </w:rPr>
  </w:style>
  <w:style w:customStyle="1" w:styleId="TableCaption" w:type="paragraph">
    <w:name w:val="Table Caption"/>
    <w:basedOn w:val="Caption"/>
    <w:pPr>
      <w:keepNext/>
    </w:pPr>
    <w:rPr>
      <w:rFonts w:ascii="Times New Roman" w:cs="Times New Roman" w:eastAsia="Times New Roman" w:hAnsi="Times New Roman"/>
      <w:color w:val="000000"/>
    </w:rPr>
  </w:style>
  <w:style w:customStyle="1" w:styleId="ImageCaption" w:type="paragraph">
    <w:name w:val="Image Caption"/>
    <w:basedOn w:val="Caption"/>
    <w:rPr>
      <w:rFonts w:ascii="Times New Roman" w:cs="Times New Roman" w:eastAsia="Times New Roman" w:hAnsi="Times New Roman"/>
      <w:color w:val="000000"/>
    </w:rPr>
  </w:style>
  <w:style w:customStyle="1" w:styleId="Figure" w:type="paragraph">
    <w:name w:val="Figure"/>
    <w:basedOn w:val="Normal"/>
    <w:rPr>
      <w:rFonts w:ascii="Times New Roman" w:cs="Times New Roman" w:eastAsia="Times New Roman" w:hAnsi="Times New Roman"/>
      <w:color w:val="000000"/>
    </w:rPr>
  </w:style>
  <w:style w:customStyle="1" w:styleId="CaptionedFigure" w:type="paragraph">
    <w:name w:val="Captioned Figure"/>
    <w:basedOn w:val="Figure"/>
    <w:pPr>
      <w:keepNext/>
    </w:pPr>
    <w:rPr>
      <w:rFonts w:ascii="Times New Roman" w:cs="Times New Roman" w:eastAsia="Times New Roman" w:hAnsi="Times New Roman"/>
      <w:color w:val="000000"/>
    </w:rPr>
  </w:style>
  <w:style w:customStyle="1" w:styleId="BodyTextChar" w:type="character">
    <w:name w:val="Body Text Char"/>
    <w:basedOn w:val="DefaultParagraphFont"/>
    <w:link w:val="BodyText"/>
    <w:rPr>
      <w:rFonts w:ascii="Times New Roman" w:cs="Times New Roman" w:eastAsia="Times New Roman" w:hAnsi="Times New Roman"/>
      <w:color w:val="000000"/>
    </w:rPr>
  </w:style>
  <w:style w:customStyle="1" w:styleId="VerbatimChar" w:type="character">
    <w:name w:val="Verbatim Char"/>
    <w:basedOn w:val="BodyTextChar"/>
    <w:rPr>
      <w:rFonts w:ascii="Times New Roman" w:cs="Times New Roman" w:eastAsia="Times New Roman" w:hAnsi="Times New Roman"/>
      <w:color w:val="000000"/>
      <w:sz w:val="22"/>
    </w:rPr>
  </w:style>
  <w:style w:customStyle="1" w:styleId="SectionNumber" w:type="character">
    <w:name w:val="Section Number"/>
    <w:basedOn w:val="BodyTextChar"/>
    <w:rPr>
      <w:rFonts w:ascii="Times New Roman" w:cs="Times New Roman" w:eastAsia="Times New Roman" w:hAnsi="Times New Roman"/>
      <w:color w:val="000000"/>
    </w:rPr>
  </w:style>
  <w:style w:styleId="FootnoteReference" w:type="character">
    <w:name w:val="Footnote Reference"/>
    <w:basedOn w:val="BodyTextChar"/>
    <w:rPr>
      <w:rFonts w:ascii="Times New Roman" w:cs="Times New Roman" w:eastAsia="Times New Roman" w:hAnsi="Times New Roman"/>
      <w:color w:val="000000"/>
      <w:vertAlign w:val="superscript"/>
    </w:rPr>
  </w:style>
  <w:style w:styleId="Hyperlink" w:type="character">
    <w:name w:val="Hyperlink"/>
    <w:basedOn w:val="BodyTextChar"/>
    <w:rPr>
      <w:rFonts w:ascii="Times New Roman" w:cs="Times New Roman" w:eastAsia="Times New Roman" w:hAnsi="Times New Roman"/>
      <w:color w:val="1F6E6E"/>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A3-1. Complaint to Compel Compliance with the UAP Records Collection Provisions (APA) and for Release of Records (FOIA)</dc:title>
  <dc:creator>nhilaw.com</dc:creator>
  <cp:keywords/>
  <dcterms:created xsi:type="dcterms:W3CDTF">2026-10-19T03:11:55Z</dcterms:created>
  <dcterms:modified xsi:type="dcterms:W3CDTF">2026-10-19T03:11:55Z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