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0" w:name="Xb6490a63327dbd402d5508410ca763aa9579a6d"/>
    <w:p>
      <w:pPr>
        <w:pStyle w:val="Heading1"/>
      </w:pPr>
      <w:r>
        <w:t xml:space="preserve">Form A3-2. Records Preservation Demand to an Agency and the Archivist</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https://nhilaw.com/forms/a3-2.html</w:t>
      </w:r>
    </w:p>
    <w:p>
      <w:pPr>
        <w:pStyle w:val="BodyText"/>
        <w:spacing w:after="160" w:line="259" w:lineRule="auto"/>
      </w:pPr>
      <w:r>
        <w:rPr>
          <w:bCs/>
          <w:b/>
        </w:rPr>
        <w:t xml:space="preserve">Use.</w:t>
      </w:r>
      <w:r>
        <w:t xml:space="preserve"> </w:t>
      </w:r>
      <w:r>
        <w:t xml:space="preserve">Counsel has reason to believe that UAP records held by an agency or contractor may be</w:t>
      </w:r>
      <w:r>
        <w:t xml:space="preserve"> </w:t>
      </w:r>
      <w:r>
        <w:t xml:space="preserve">destroyed, altered, or moved beyond reach (for example, during program termination, contract closeout,</w:t>
      </w:r>
      <w:r>
        <w:t xml:space="preserve"> </w:t>
      </w:r>
      <w:r>
        <w:t xml:space="preserve">reorganization, or a disclosure event). The Records Collection provisions forbid destruction or</w:t>
      </w:r>
      <w:r>
        <w:t xml:space="preserve"> </w:t>
      </w:r>
      <w:r>
        <w:t xml:space="preserve">alteration of any UAP record, and the Federal Records Act requires agency heads to notify the Archivist</w:t>
      </w:r>
      <w:r>
        <w:t xml:space="preserve"> </w:t>
      </w:r>
      <w:r>
        <w:t xml:space="preserve">of unlawful destruction and to seek recovery through the Attorney General. The letter puts the agency and</w:t>
      </w:r>
      <w:r>
        <w:t xml:space="preserve"> </w:t>
      </w:r>
      <w:r>
        <w:t xml:space="preserve">NARA on notice and creates a record for later litigation.</w:t>
      </w:r>
    </w:p>
    <w:p>
      <w:pPr>
        <w:pStyle w:val="BodyText"/>
        <w:spacing w:after="160" w:line="259" w:lineRule="auto"/>
      </w:pPr>
      <w:r>
        <w:rPr>
          <w:bCs/>
          <w:b/>
        </w:rPr>
        <w:t xml:space="preserve">When to use.</w:t>
      </w:r>
      <w:r>
        <w:t xml:space="preserve"> </w:t>
      </w:r>
      <w:r>
        <w:t xml:space="preserve">Records may be destroyed or moved, for example at program termination, contract closeout, or a reorganization.</w:t>
      </w:r>
      <w:r>
        <w:t xml:space="preserve"> </w:t>
      </w:r>
      <w:r>
        <w:rPr>
          <w:bCs/>
          <w:b/>
        </w:rPr>
        <w:t xml:space="preserve">Not for:</w:t>
      </w:r>
      <w:r>
        <w:t xml:space="preserve"> </w:t>
      </w:r>
      <w:r>
        <w:t xml:space="preserve">Requests for release of the records (Forms A2-1, B1-1).</w:t>
      </w:r>
    </w:p>
    <w:p>
      <w:pPr>
        <w:pStyle w:val="BodyText"/>
        <w:spacing w:after="160" w:line="259" w:lineRule="auto"/>
      </w:pPr>
      <w:r>
        <w:rPr>
          <w:bCs/>
          <w:b/>
        </w:rPr>
        <w:t xml:space="preserve">Deadlines.</w:t>
      </w:r>
      <w:r>
        <w:t xml:space="preserve"> </w:t>
      </w:r>
      <w:r>
        <w:t xml:space="preserve">Send at once. NARA should be notified the same day.</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t xml:space="preserve">[Letterhead]</w:t>
      </w:r>
    </w:p>
    <w:p>
      <w:pPr>
        <w:pStyle w:val="BodyText"/>
      </w:pPr>
      <w:r>
        <w:t xml:space="preserve">[Date]</w:t>
      </w:r>
    </w:p>
    <w:p>
      <w:pPr>
        <w:pStyle w:val="BodyText"/>
      </w:pPr>
      <w:r>
        <w:rPr>
          <w:bCs/>
          <w:b/>
        </w:rPr>
        <w:t xml:space="preserve">By email and certified mail</w:t>
      </w:r>
    </w:p>
    <w:p>
      <w:pPr>
        <w:pStyle w:val="BodyText"/>
      </w:pPr>
      <w:r>
        <w:t xml:space="preserve">[Head of agency] and [Agency Records Officer / Senior Agency Official for Records Management]</w:t>
      </w:r>
      <w:r>
        <w:br/>
      </w:r>
      <w:r>
        <w:t xml:space="preserve">[Address]</w:t>
      </w:r>
    </w:p>
    <w:p>
      <w:pPr>
        <w:pStyle w:val="BodyText"/>
      </w:pPr>
      <w:r>
        <w:t xml:space="preserve">The Archivist of the United States</w:t>
      </w:r>
      <w:r>
        <w:br/>
      </w:r>
      <w:r>
        <w:t xml:space="preserve">National Archives and Records Administration</w:t>
      </w:r>
      <w:r>
        <w:br/>
      </w:r>
      <w:r>
        <w:t xml:space="preserve">Attn: Records Management Oversight and Reporting Program (Unauthorized Disposition)</w:t>
      </w:r>
      <w:r>
        <w:br/>
      </w:r>
      <w:r>
        <w:t xml:space="preserve">8601 Adelphi Road, College Park, MD 20740</w:t>
      </w:r>
      <w:r>
        <w:br/>
      </w:r>
      <w:r>
        <w:t xml:space="preserve">By email: UnauthorizedDisposition@nara.gov</w:t>
      </w:r>
    </w:p>
    <w:p>
      <w:pPr>
        <w:pStyle w:val="BodyText"/>
      </w:pPr>
      <w:r>
        <w:rPr>
          <w:bCs/>
          <w:b/>
        </w:rPr>
        <w:t xml:space="preserve">Re: Demand for preservation of unidentified anomalous phenomena records; notice of risk of unlawful</w:t>
      </w:r>
      <w:r>
        <w:rPr>
          <w:bCs/>
          <w:b/>
        </w:rPr>
        <w:t xml:space="preserve"> </w:t>
      </w:r>
      <w:r>
        <w:rPr>
          <w:bCs/>
          <w:b/>
        </w:rPr>
        <w:t xml:space="preserve">destruction</w:t>
      </w:r>
    </w:p>
    <w:p>
      <w:pPr>
        <w:pStyle w:val="BodyText"/>
      </w:pPr>
      <w:r>
        <w:t xml:space="preserve">Dear [Names]:</w:t>
      </w:r>
    </w:p>
    <w:p>
      <w:pPr>
        <w:pStyle w:val="BodyText"/>
      </w:pPr>
      <w:r>
        <w:t xml:space="preserve">I write on behalf of [client] concerning records relating to unidentified anomalous phenomena (</w:t>
      </w:r>
      <w:r>
        <w:t xml:space="preserve">“</w:t>
      </w:r>
      <w:r>
        <w:t xml:space="preserve">UAP</w:t>
      </w:r>
      <w:r>
        <w:t xml:space="preserve">”</w:t>
      </w:r>
      <w:r>
        <w:t xml:space="preserve">)</w:t>
      </w:r>
      <w:r>
        <w:t xml:space="preserve"> </w:t>
      </w:r>
      <w:r>
        <w:t xml:space="preserve">in the possession, custody, or control of [agency], including records held for [agency] by its</w:t>
      </w:r>
      <w:r>
        <w:t xml:space="preserve"> </w:t>
      </w:r>
      <w:r>
        <w:t xml:space="preserve">contractors.</w:t>
      </w:r>
    </w:p>
    <w:p>
      <w:pPr>
        <w:pStyle w:val="BodyText"/>
      </w:pPr>
      <w:r>
        <w:rPr>
          <w:bCs/>
          <w:b/>
        </w:rPr>
        <w:t xml:space="preserve">The records.</w:t>
      </w:r>
      <w:r>
        <w:t xml:space="preserve"> </w:t>
      </w:r>
      <w:r>
        <w:t xml:space="preserve">[Describe with as much specificity as possible without disclosing classified</w:t>
      </w:r>
      <w:r>
        <w:t xml:space="preserve"> </w:t>
      </w:r>
      <w:r>
        <w:t xml:space="preserve">information: program office, date range, subject, location, contractor, contract number, type of</w:t>
      </w:r>
      <w:r>
        <w:t xml:space="preserve"> </w:t>
      </w:r>
      <w:r>
        <w:t xml:space="preserve">record (documents, email, sensor data, video, physical material logs).]</w:t>
      </w:r>
    </w:p>
    <w:p>
      <w:pPr>
        <w:pStyle w:val="BodyText"/>
      </w:pPr>
      <w:r>
        <w:rPr>
          <w:bCs/>
          <w:b/>
        </w:rPr>
        <w:t xml:space="preserve">The legal duty.</w:t>
      </w:r>
      <w:r>
        <w:t xml:space="preserve"> </w:t>
      </w:r>
      <w:r>
        <w:t xml:space="preserve">Under the National Defense Authorization Act for Fiscal Year 2024, Pub. L. No.</w:t>
      </w:r>
      <w:r>
        <w:t xml:space="preserve"> </w:t>
      </w:r>
      <w:r>
        <w:t xml:space="preserve">118-31, §1842(a)(2)(A), 137 Stat. 136, 701 (44 U.S.C. §2107 note),</w:t>
      </w:r>
      <w:r>
        <w:t xml:space="preserve"> </w:t>
      </w:r>
      <w:r>
        <w:t xml:space="preserve">“</w:t>
      </w:r>
      <w:r>
        <w:t xml:space="preserve">[n]o unidentified anomalous</w:t>
      </w:r>
      <w:r>
        <w:t xml:space="preserve"> </w:t>
      </w:r>
      <w:r>
        <w:t xml:space="preserve">phenomena record shall be destroyed, altered, or mutilated in any way.</w:t>
      </w:r>
      <w:r>
        <w:t xml:space="preserve">”</w:t>
      </w:r>
      <w:r>
        <w:t xml:space="preserve"> </w:t>
      </w:r>
      <w:r>
        <w:t xml:space="preserve">The Collection reaches all</w:t>
      </w:r>
      <w:r>
        <w:t xml:space="preserve"> </w:t>
      </w:r>
      <w:r>
        <w:t xml:space="preserve">“</w:t>
      </w:r>
      <w:r>
        <w:t xml:space="preserve">Government, Government-provided, or Government-funded records</w:t>
      </w:r>
      <w:r>
        <w:t xml:space="preserve">”</w:t>
      </w:r>
      <w:r>
        <w:t xml:space="preserve"> </w:t>
      </w:r>
      <w:r>
        <w:t xml:space="preserve">relating to UAP, technologies of unknown</w:t>
      </w:r>
      <w:r>
        <w:t xml:space="preserve"> </w:t>
      </w:r>
      <w:r>
        <w:t xml:space="preserve">origin, and non-human intelligence.</w:t>
      </w:r>
      <w:r>
        <w:t xml:space="preserve"> </w:t>
      </w:r>
      <w:r>
        <w:rPr>
          <w:iCs/>
          <w:i/>
        </w:rPr>
        <w:t xml:space="preserve">Id.</w:t>
      </w:r>
      <w:r>
        <w:t xml:space="preserve"> </w:t>
      </w:r>
      <w:r>
        <w:t xml:space="preserve">§1841(a)(1)(C). Under the Federal Records Act, the head of</w:t>
      </w:r>
      <w:r>
        <w:t xml:space="preserve"> </w:t>
      </w:r>
      <w:r>
        <w:t xml:space="preserve">each agency must notify the Archivist of any actual, impending, or threatened unlawful removal,</w:t>
      </w:r>
      <w:r>
        <w:t xml:space="preserve"> </w:t>
      </w:r>
      <w:r>
        <w:t xml:space="preserve">alteration, or destruction of records and must initiate action through the Attorney General for their</w:t>
      </w:r>
      <w:r>
        <w:t xml:space="preserve"> </w:t>
      </w:r>
      <w:r>
        <w:t xml:space="preserve">recovery, 44 U.S.C. §3106, and the Archivist must assist, 44 U.S.C. §2905(a). Records relating to UAP</w:t>
      </w:r>
      <w:r>
        <w:t xml:space="preserve"> </w:t>
      </w:r>
      <w:r>
        <w:t xml:space="preserve">and to</w:t>
      </w:r>
      <w:r>
        <w:t xml:space="preserve"> </w:t>
      </w:r>
      <w:r>
        <w:t xml:space="preserve">“</w:t>
      </w:r>
      <w:r>
        <w:t xml:space="preserve">technologies of unknown origin</w:t>
      </w:r>
      <w:r>
        <w:t xml:space="preserve">”</w:t>
      </w:r>
      <w:r>
        <w:t xml:space="preserve"> </w:t>
      </w:r>
      <w:r>
        <w:t xml:space="preserve">also fall within the authorized-disclosure framework of 50 U.S.C.</w:t>
      </w:r>
      <w:r>
        <w:t xml:space="preserve"> </w:t>
      </w:r>
      <w:r>
        <w:t xml:space="preserve">§3373b and the reporting duties of 50 U.S.C. §3373.</w:t>
      </w:r>
    </w:p>
    <w:p>
      <w:pPr>
        <w:pStyle w:val="BodyText"/>
      </w:pPr>
      <w:r>
        <w:rPr>
          <w:bCs/>
          <w:b/>
        </w:rPr>
        <w:t xml:space="preserve">The risk.</w:t>
      </w:r>
      <w:r>
        <w:t xml:space="preserve"> </w:t>
      </w:r>
      <w:r>
        <w:t xml:space="preserve">[Describe facts suggesting risk, e.g., announced program termination, contract closeout</w:t>
      </w:r>
      <w:r>
        <w:t xml:space="preserve"> </w:t>
      </w:r>
      <w:r>
        <w:t xml:space="preserve">date, office relocation, statements by personnel, or the pendency of [client]’s FOIA request number [__]</w:t>
      </w:r>
      <w:r>
        <w:t xml:space="preserve"> </w:t>
      </w:r>
      <w:r>
        <w:t xml:space="preserve">or litigation.]</w:t>
      </w:r>
    </w:p>
    <w:p>
      <w:pPr>
        <w:pStyle w:val="BodyText"/>
      </w:pPr>
      <w:r>
        <w:rPr>
          <w:bCs/>
          <w:b/>
        </w:rPr>
        <w:t xml:space="preserve">Demand.</w:t>
      </w:r>
      <w:r>
        <w:t xml:space="preserve"> </w:t>
      </w:r>
      <w:r>
        <w:t xml:space="preserve">We ask that [agency]:</w:t>
      </w:r>
      <w:r>
        <w:t xml:space="preserve"> </w:t>
      </w:r>
      <w:r>
        <w:t xml:space="preserve">1. immediately suspend any disposition schedule that would permit destruction of the records described</w:t>
      </w:r>
      <w:r>
        <w:t xml:space="preserve"> </w:t>
      </w:r>
      <w:r>
        <w:t xml:space="preserve">above;</w:t>
      </w:r>
      <w:r>
        <w:t xml:space="preserve"> </w:t>
      </w:r>
      <w:r>
        <w:t xml:space="preserve">2. instruct all custodians, including contractor custodians under [contract numbers], in writing to</w:t>
      </w:r>
      <w:r>
        <w:t xml:space="preserve"> </w:t>
      </w:r>
      <w:r>
        <w:t xml:space="preserve">preserve the records in their current form, including electronic records, metadata, sensor data,</w:t>
      </w:r>
      <w:r>
        <w:t xml:space="preserve"> </w:t>
      </w:r>
      <w:r>
        <w:t xml:space="preserve">and physical material logs;</w:t>
      </w:r>
      <w:r>
        <w:t xml:space="preserve"> </w:t>
      </w:r>
      <w:r>
        <w:t xml:space="preserve">3. confirm in writing within [14] days that it has done so; and</w:t>
      </w:r>
      <w:r>
        <w:t xml:space="preserve"> </w:t>
      </w:r>
      <w:r>
        <w:t xml:space="preserve">4. state whether the records have been identified as UAP records under §1842 and, if so, whether they</w:t>
      </w:r>
      <w:r>
        <w:t xml:space="preserve"> </w:t>
      </w:r>
      <w:r>
        <w:t xml:space="preserve">have been transmitted to the UAP Records Collection (RG 615) or postponed, and under which ground.</w:t>
      </w:r>
    </w:p>
    <w:p>
      <w:pPr>
        <w:pStyle w:val="BodyText"/>
      </w:pPr>
      <w:r>
        <w:t xml:space="preserve">We ask that the Archivist open an unauthorized-disposition inquiry under 44 U.S.C. §§2905 and 3106 if</w:t>
      </w:r>
      <w:r>
        <w:t xml:space="preserve"> </w:t>
      </w:r>
      <w:r>
        <w:t xml:space="preserve">[agency] does not confirm preservation.</w:t>
      </w:r>
    </w:p>
    <w:p>
      <w:pPr>
        <w:pStyle w:val="BodyText"/>
      </w:pPr>
      <w:r>
        <w:t xml:space="preserve">[If a FOIA request or litigation is pending:] [Client]’s FOIA request number [__] is pending, and the</w:t>
      </w:r>
      <w:r>
        <w:t xml:space="preserve"> </w:t>
      </w:r>
      <w:r>
        <w:t xml:space="preserve">records are subject to preservation obligations for that reason as well. Destruction of records subject</w:t>
      </w:r>
      <w:r>
        <w:t xml:space="preserve"> </w:t>
      </w:r>
      <w:r>
        <w:t xml:space="preserve">to a pending FOIA request may result in sanctions and adverse inferences in litigation.</w:t>
      </w:r>
    </w:p>
    <w:p>
      <w:pPr>
        <w:pStyle w:val="BodyText"/>
      </w:pPr>
      <w:r>
        <w:t xml:space="preserve">Nothing in this letter requests or contains classified information. If [agency] believes any portion of</w:t>
      </w:r>
      <w:r>
        <w:t xml:space="preserve"> </w:t>
      </w:r>
      <w:r>
        <w:t xml:space="preserve">it does, please contact me so that we can address the matter through appropriate channels.</w:t>
      </w:r>
    </w:p>
    <w:p>
      <w:pPr>
        <w:pStyle w:val="BodyText"/>
      </w:pPr>
      <w:r>
        <w:t xml:space="preserve">Sincerely,</w:t>
      </w:r>
      <w:r>
        <w:br/>
      </w:r>
      <w:r>
        <w:t xml:space="preserve">[Name, bar admission, contact]</w:t>
      </w:r>
    </w:p>
    <w:p>
      <w:pPr>
        <w:pStyle w:val="BodyText"/>
      </w:pPr>
      <w:r>
        <w:t xml:space="preserve">cc: [Agency Inspector General]; [Committee staff, if appropriate]; [Contractor general counsel]</w:t>
      </w:r>
    </w:p>
    <w:p>
      <w:pPr>
        <w:pStyle w:val="BodyText"/>
      </w:pPr>
      <w:r>
        <w:br w:type="page"/>
      </w:r>
    </w:p>
    <w:p>
      <w:pPr>
        <w:pStyle w:val="BodyText"/>
      </w:pPr>
      <w:r>
        <w:rPr>
          <w:bCs/>
          <w:b/>
        </w:rPr>
        <w:t xml:space="preserve">Contractor-custodian version</w:t>
      </w:r>
    </w:p>
    <w:p>
      <w:pPr>
        <w:pStyle w:val="BodyText"/>
      </w:pPr>
      <w:r>
        <w:t xml:space="preserve">[Letterhead] [Date]</w:t>
      </w:r>
    </w:p>
    <w:p>
      <w:pPr>
        <w:pStyle w:val="BodyText"/>
      </w:pPr>
      <w:r>
        <w:rPr>
          <w:bCs/>
          <w:b/>
        </w:rPr>
        <w:t xml:space="preserve">By email and overnight delivery</w:t>
      </w:r>
    </w:p>
    <w:p>
      <w:pPr>
        <w:pStyle w:val="BodyText"/>
      </w:pPr>
      <w:r>
        <w:t xml:space="preserve">General Counsel, [Contractor]</w:t>
      </w:r>
      <w:r>
        <w:br/>
      </w:r>
      <w:r>
        <w:t xml:space="preserve">[Address]</w:t>
      </w:r>
    </w:p>
    <w:p>
      <w:pPr>
        <w:pStyle w:val="BodyText"/>
      </w:pPr>
      <w:r>
        <w:t xml:space="preserve">cc: Contracting Officer, [agency], [contract numbers]; [Agency Records Officer]</w:t>
      </w:r>
    </w:p>
    <w:p>
      <w:pPr>
        <w:pStyle w:val="BodyText"/>
      </w:pPr>
      <w:r>
        <w:rPr>
          <w:bCs/>
          <w:b/>
        </w:rPr>
        <w:t xml:space="preserve">Re: Preservation of records relating to unidentified anomalous phenomena under [contract numbers]</w:t>
      </w:r>
    </w:p>
    <w:p>
      <w:pPr>
        <w:pStyle w:val="BodyText"/>
      </w:pPr>
      <w:r>
        <w:t xml:space="preserve">Dear [Name]:</w:t>
      </w:r>
    </w:p>
    <w:p>
      <w:pPr>
        <w:pStyle w:val="BodyText"/>
      </w:pPr>
      <w:r>
        <w:t xml:space="preserve">I represent [client] in connection with [FOIA request number __ / litigation captioned ____ / a pending inquiry].</w:t>
      </w:r>
      <w:r>
        <w:br/>
      </w:r>
      <w:r>
        <w:t xml:space="preserve">[Contractor] holds or held records under the contracts listed above that are</w:t>
      </w:r>
      <w:r>
        <w:t xml:space="preserve"> </w:t>
      </w:r>
      <w:r>
        <w:t xml:space="preserve">“</w:t>
      </w:r>
      <w:r>
        <w:t xml:space="preserve">Government-provided, or</w:t>
      </w:r>
      <w:r>
        <w:br/>
      </w:r>
      <w:r>
        <w:t xml:space="preserve">Government-funded records</w:t>
      </w:r>
      <w:r>
        <w:t xml:space="preserve">”</w:t>
      </w:r>
      <w:r>
        <w:t xml:space="preserve"> </w:t>
      </w:r>
      <w:r>
        <w:t xml:space="preserve">relating to unidentified anomalous phenomena, technologies of unknown origin, or</w:t>
      </w:r>
      <w:r>
        <w:br/>
      </w:r>
      <w:r>
        <w:t xml:space="preserve">non-human intelligence. Pub. L. No. 118-31, §1841(a)(1)(C).</w:t>
      </w:r>
      <w:r>
        <w:t xml:space="preserve"> </w:t>
      </w:r>
      <w:r>
        <w:t xml:space="preserve">“</w:t>
      </w:r>
      <w:r>
        <w:t xml:space="preserve">No unidentified anomalous phenomena record shall be</w:t>
      </w:r>
      <w:r>
        <w:br/>
      </w:r>
      <w:r>
        <w:t xml:space="preserve">destroyed, altered, or mutilated in any way.</w:t>
      </w:r>
      <w:r>
        <w:t xml:space="preserve">”</w:t>
      </w:r>
      <w:r>
        <w:t xml:space="preserve"> </w:t>
      </w:r>
      <w:r>
        <w:t xml:space="preserve">§1842(a)(2)(A). Records a contractor creates or holds for an agency</w:t>
      </w:r>
      <w:r>
        <w:br/>
      </w:r>
      <w:r>
        <w:t xml:space="preserve">under contract are also subject to the agency’s records obligations, and the contract’s records and data clauses</w:t>
      </w:r>
      <w:r>
        <w:br/>
      </w:r>
      <w:r>
        <w:t xml:space="preserve">may require their delivery or retention.</w:t>
      </w:r>
    </w:p>
    <w:p>
      <w:pPr>
        <w:pStyle w:val="BodyText"/>
      </w:pPr>
      <w:r>
        <w:t xml:space="preserve">Please (1) suspend any routine deletion, closeout disposal, or transfer of such records, including electronic</w:t>
      </w:r>
      <w:r>
        <w:br/>
      </w:r>
      <w:r>
        <w:t xml:space="preserve">records, metadata, sensor data, laboratory notebooks, and logs of physical material; (2) instruct the custodians in</w:t>
      </w:r>
      <w:r>
        <w:br/>
      </w:r>
      <w:r>
        <w:t xml:space="preserve">writing to preserve them; and (3) confirm within [14] days that you have done so. If [Contractor] contends that any</w:t>
      </w:r>
      <w:r>
        <w:br/>
      </w:r>
      <w:r>
        <w:t xml:space="preserve">such record is company property outside any contract, please preserve it as well and tell me the basis of that</w:t>
      </w:r>
      <w:r>
        <w:br/>
      </w:r>
      <w:r>
        <w:t xml:space="preserve">position, so that the question can be resolved before anything is lost.</w:t>
      </w:r>
    </w:p>
    <w:p>
      <w:pPr>
        <w:pStyle w:val="BodyText"/>
      </w:pPr>
      <w:r>
        <w:t xml:space="preserve">Nothing in this letter requests or contains classified information.</w:t>
      </w:r>
    </w:p>
    <w:p>
      <w:pPr>
        <w:pStyle w:val="BodyText"/>
      </w:pPr>
      <w:r>
        <w:t xml:space="preserve">Sincerely,</w:t>
      </w:r>
      <w:r>
        <w:br/>
      </w:r>
      <w:r>
        <w:t xml:space="preserve">[Name, bar admission, contact]</w:t>
      </w:r>
    </w:p>
    <w:p>
      <w:pPr>
        <w:pStyle w:val="BodyText"/>
      </w:pPr>
      <w:r>
        <w:br w:type="page"/>
      </w:r>
    </w:p>
    <w:p>
      <w:pPr>
        <w:pStyle w:val="BodyText"/>
      </w:pPr>
      <w:r>
        <w:rPr>
          <w:bCs/>
          <w:b/>
        </w:rPr>
        <w:t xml:space="preserve">Drafting note.</w:t>
      </w:r>
      <w:r>
        <w:t xml:space="preserve"> </w:t>
      </w:r>
      <w:r>
        <w:t xml:space="preserve">For contractors, send the agency version to the contracting officer as well; an agency</w:t>
      </w:r>
      <w:r>
        <w:br/>
      </w:r>
      <w:r>
        <w:t xml:space="preserve">instruction to preserve carries more weight with a contractor than a private demand. A preservation demand to a</w:t>
      </w:r>
      <w:r>
        <w:br/>
      </w:r>
      <w:r>
        <w:t xml:space="preserve">private party also supports spoliation sanctions if litigation follows (Fed. R. Civ. P. 37(e)).</w:t>
      </w:r>
    </w:p>
    <w:p>
      <w:pPr>
        <w:pStyle w:val="BodyText"/>
      </w:pPr>
      <w:r>
        <w:rPr>
          <w:bCs/>
          <w:b/>
        </w:rPr>
        <w:t xml:space="preserve">Drafting note.</w:t>
      </w:r>
      <w:r>
        <w:t xml:space="preserve"> </w:t>
      </w:r>
      <w:r>
        <w:t xml:space="preserve">NARA’s unauthorized disposition page directs reports to</w:t>
      </w:r>
      <w:r>
        <w:br/>
      </w:r>
      <w:r>
        <w:t xml:space="preserve">UnauthorizedDisposition@nara.gov and states that its Records Management Oversight and Reporting Program</w:t>
      </w:r>
      <w:r>
        <w:br/>
      </w:r>
      <w:r>
        <w:t xml:space="preserve">handles these cases under 36 C.F.R. part 1230. Email is the faster route; send the mailed copy as well if</w:t>
      </w:r>
      <w:r>
        <w:br/>
      </w:r>
      <w:r>
        <w:t xml:space="preserve">a dated paper record matters.</w:t>
      </w:r>
    </w:p>
    <w:bookmarkEnd w:id="20"/>
    <w:sectPr>
      <w:headerReference w:type="default" r:id="rId11"/>
      <w:footerReference w:type="default" r:id="rId12"/>
      <w:headerReference w:type="first" r:id="rId14"/>
      <w:footerReference w:type="first" r:id="rId13"/>
      <w:pgSz w:h="15840" w:w="12240"/>
      <w:pgMar w:bottom="1440" w:left="1440" w:right="1440" w:top="1440" w:header="720" w:footer="576"/>
      <w:pgNumType w:start="1"/>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A3-2. Records Preservation Demand to an Agency and the Archivist</dc:title>
  <dc:creator>nhilaw.com</dc:creator>
  <cp:keywords/>
  <dcterms:created xsi:type="dcterms:W3CDTF">2026-10-19T03:11:58Z</dcterms:created>
  <dcterms:modified xsi:type="dcterms:W3CDTF">2026-10-19T03:11:58Z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