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Statutory Framework for UAP: What Congress Has Enacted, What Is Pending, and What Can Be Enforced</w:t>
      </w:r>
    </w:p>
    <w:p>
      <w:pPr>
        <w:pStyle w:val="Subtitle"/>
      </w:pPr>
      <w:r>
        <w:t xml:space="preserve">Version 1.10 · October 2026 · nhilaw.com/issues/a3.html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The enacted framework is AARO (50 U.S.C. §3373), the protected disclosure channel (§3373b), the UAP Records Collection (FY2024 NDAA §§1841-1843), and funding limits (FY2024 §1687; IAA §7343).</w:t>
      </w:r>
    </w:p>
    <w:p>
      <w:pPr>
        <w:pStyle w:val="Compact"/>
        <w:numPr>
          <w:ilvl w:val="0"/>
          <w:numId w:val="1001"/>
        </w:numPr>
      </w:pPr>
      <w:r>
        <w:t xml:space="preserve">§3373b(b)(1) is the strongest protection in UAP law: an authorized disclosure</w:t>
      </w:r>
      <w:r>
        <w:t xml:space="preserve"> </w:t>
      </w:r>
      <w:r>
        <w:t xml:space="preserve">“</w:t>
      </w:r>
      <w:r>
        <w:t xml:space="preserve">is not a violation of section 798 of title 18, or other provision of law relating to the disclosure of information.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t xml:space="preserve">On the site’s premise that AARO is part of the concealment, use the channel for its legal protection but never rely on AARO to act; verify the 72-hour notice to the committees and report in parallel to an inspector general.</w:t>
      </w:r>
    </w:p>
    <w:p>
      <w:pPr>
        <w:pStyle w:val="Compact"/>
        <w:numPr>
          <w:ilvl w:val="0"/>
          <w:numId w:val="1001"/>
        </w:numPr>
      </w:pPr>
      <w:r>
        <w:t xml:space="preserve">The Records Collection has no express cause of action. Enforce discrete duties through the APA and use FOIA in parallel; Collection releases can support a FOIA public-domain demand (</w:t>
      </w:r>
      <w:r>
        <w:rPr>
          <w:iCs/>
          <w:i/>
        </w:rPr>
        <w:t xml:space="preserve">Scott v. CIA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 House-passed H.R. 8800 would add a Review Board, eminent domain over recovered technology, a precedence clause, and APA review; after</w:t>
      </w:r>
      <w:r>
        <w:t xml:space="preserve"> </w:t>
      </w:r>
      <w:r>
        <w:rPr>
          <w:iCs/>
          <w:i/>
        </w:rPr>
        <w:t xml:space="preserve">Trump v. Slaughter</w:t>
      </w:r>
      <w:r>
        <w:t xml:space="preserve"> </w:t>
      </w:r>
      <w:r>
        <w:t xml:space="preserve">the Board’s removal protection is unlikely to survive.</w:t>
      </w:r>
    </w:p>
    <w:p>
      <w:pPr>
        <w:pStyle w:val="Compact"/>
        <w:numPr>
          <w:ilvl w:val="0"/>
          <w:numId w:val="1001"/>
        </w:numPr>
      </w:pPr>
      <w:r>
        <w:t xml:space="preserve">The statutes are themselves official acknowledgments of the subject matter, which weakens Glomar responses about the existence of UAP records.</w:t>
      </w:r>
    </w:p>
    <w:p>
      <w:r>
        <w:pict>
          <v:rect style="width:0;height:1.5pt" o:hralign="center" o:hrstd="t" o:hr="t"/>
        </w:pict>
      </w:r>
    </w:p>
    <w:bookmarkEnd w:id="21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Since 2021 Congress has built a UAP framework in five annual defense and intelligence authorization</w:t>
      </w:r>
      <w:r>
        <w:t xml:space="preserve"> </w:t>
      </w:r>
      <w:r>
        <w:t xml:space="preserve">acts. The enacted law creates and directs the All-domain Anomaly Resolution</w:t>
      </w:r>
      <w:r>
        <w:t xml:space="preserve"> </w:t>
      </w:r>
      <w:r>
        <w:t xml:space="preserve">Office (AARO), 50 U.S.C. §3373. It establishes a protected channel for disclosures to AARO that</w:t>
      </w:r>
      <w:r>
        <w:t xml:space="preserve"> </w:t>
      </w:r>
      <w:r>
        <w:t xml:space="preserve">overrides nondisclosure agreements and classification rules and forbids reprisal, 50 U.S.C. §3373b.</w:t>
      </w:r>
      <w:r>
        <w:t xml:space="preserve"> </w:t>
      </w:r>
      <w:r>
        <w:t xml:space="preserve">It requires every federal office to identify UAP records and transmit them to a UAP Records Collection</w:t>
      </w:r>
      <w:r>
        <w:t xml:space="preserve"> </w:t>
      </w:r>
      <w:r>
        <w:t xml:space="preserve">at the National Archives, with public release unless the originating authority shows by clear and</w:t>
      </w:r>
      <w:r>
        <w:t xml:space="preserve"> </w:t>
      </w:r>
      <w:r>
        <w:t xml:space="preserve">convincing evidence that a statutory ground for postponement applies, and with full release after 25</w:t>
      </w:r>
      <w:r>
        <w:t xml:space="preserve"> </w:t>
      </w:r>
      <w:r>
        <w:t xml:space="preserve">years unless the President certifies continuing harm (FY2024 NDAA §§1841-1843, 44 U.S.C. §2107 note).</w:t>
      </w:r>
      <w:r>
        <w:t xml:space="preserve"> </w:t>
      </w:r>
      <w:r>
        <w:t xml:space="preserve">For fiscal year 2024 it also barred spending on UAP-related activities concealed from Congress (FY2024</w:t>
      </w:r>
      <w:r>
        <w:t xml:space="preserve"> </w:t>
      </w:r>
      <w:r>
        <w:t xml:space="preserve">NDAA §1687).</w:t>
      </w:r>
    </w:p>
    <w:p>
      <w:pPr>
        <w:pStyle w:val="BodyText"/>
      </w:pPr>
      <w:r>
        <w:t xml:space="preserve">What the enacted law does not do is equally important. It establishes no independent review board, no</w:t>
      </w:r>
      <w:r>
        <w:t xml:space="preserve"> </w:t>
      </w:r>
      <w:r>
        <w:t xml:space="preserve">eminent domain over privately held material, no express private right of action, and no judicial</w:t>
      </w:r>
      <w:r>
        <w:t xml:space="preserve"> </w:t>
      </w:r>
      <w:r>
        <w:t xml:space="preserve">review provision. The House-passed FY2027 NDAA (H.R. 8800) would add a Senate-confirmed review board</w:t>
      </w:r>
      <w:r>
        <w:t xml:space="preserve"> </w:t>
      </w:r>
      <w:r>
        <w:t xml:space="preserve">with subpoena power, a federal exercise of eminent domain over</w:t>
      </w:r>
      <w:r>
        <w:t xml:space="preserve"> </w:t>
      </w:r>
      <w:r>
        <w:t xml:space="preserve">“</w:t>
      </w:r>
      <w:r>
        <w:t xml:space="preserve">recovered technologies of unknown</w:t>
      </w:r>
      <w:r>
        <w:t xml:space="preserve"> </w:t>
      </w:r>
      <w:r>
        <w:t xml:space="preserve">origin and biological evidence of non-human intelligence</w:t>
      </w:r>
      <w:r>
        <w:t xml:space="preserve">”</w:t>
      </w:r>
      <w:r>
        <w:t xml:space="preserve"> </w:t>
      </w:r>
      <w:r>
        <w:t xml:space="preserve">held by private parties, a rule that the Act</w:t>
      </w:r>
      <w:r>
        <w:t xml:space="preserve"> </w:t>
      </w:r>
      <w:r>
        <w:t xml:space="preserve">takes precedence over contrary</w:t>
      </w:r>
      <w:r>
        <w:t xml:space="preserve"> </w:t>
      </w:r>
      <w:r>
        <w:t xml:space="preserve">“</w:t>
      </w:r>
      <w:r>
        <w:t xml:space="preserve">judicial decision[s]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common law doctrine,</w:t>
      </w:r>
      <w:r>
        <w:t xml:space="preserve">”</w:t>
      </w:r>
      <w:r>
        <w:t xml:space="preserve"> </w:t>
      </w:r>
      <w:r>
        <w:t xml:space="preserve">and an express</w:t>
      </w:r>
      <w:r>
        <w:t xml:space="preserve"> </w:t>
      </w:r>
      <w:r>
        <w:t xml:space="preserve">preservation of APA review. As of this writing the Senate has not acted.</w:t>
      </w:r>
    </w:p>
    <w:p>
      <w:pPr>
        <w:pStyle w:val="BodyText"/>
      </w:pPr>
      <w:r>
        <w:t xml:space="preserve">For practitioners, the enacted framework is most useful in three ways: the §3373b disclosure channel</w:t>
      </w:r>
      <w:r>
        <w:t xml:space="preserve"> </w:t>
      </w:r>
      <w:r>
        <w:t xml:space="preserve">and its legal protections (</w:t>
      </w:r>
      <w:hyperlink r:id="rId22">
        <w:r>
          <w:rPr>
            <w:rStyle w:val="Hyperlink"/>
          </w:rPr>
          <w:t xml:space="preserve">Issue C1</w:t>
        </w:r>
      </w:hyperlink>
      <w:r>
        <w:t xml:space="preserve">); the record-transmission duties of the Records Collection, which</w:t>
      </w:r>
      <w:r>
        <w:t xml:space="preserve"> </w:t>
      </w:r>
      <w:r>
        <w:t xml:space="preserve">can be enforced, if at all, through the APA within the limits the JFK Act litigation has drawn; and</w:t>
      </w:r>
      <w:r>
        <w:t xml:space="preserve"> </w:t>
      </w:r>
      <w:r>
        <w:t xml:space="preserve">the statutory acknowledgments themselves, which narrow the government’s privilege and Glomar defenses</w:t>
      </w:r>
      <w:r>
        <w:t xml:space="preserve"> </w:t>
      </w:r>
      <w:r>
        <w:t xml:space="preserve">in litigation (Issues A1, B1).</w:t>
      </w:r>
    </w:p>
    <w:p>
      <w:r>
        <w:pict>
          <v:rect style="width:0;height:1.5pt" o:hralign="center" o:hrstd="t" o:hr="t"/>
        </w:pict>
      </w:r>
    </w:p>
    <w:bookmarkEnd w:id="23"/>
    <w:bookmarkStart w:id="33" w:name="enacted-provisions"/>
    <w:p>
      <w:pPr>
        <w:pStyle w:val="Heading2"/>
      </w:pPr>
      <w:r>
        <w:t xml:space="preserve">2. Enacted provisions</w:t>
      </w:r>
    </w:p>
    <w:bookmarkStart w:id="24" w:name="aaro-50-u.s.c.-3373"/>
    <w:p>
      <w:pPr>
        <w:pStyle w:val="Heading3"/>
      </w:pPr>
      <w:r>
        <w:t xml:space="preserve">2.1 AARO: 50 U.S.C. §3373</w:t>
      </w:r>
    </w:p>
    <w:p>
      <w:pPr>
        <w:pStyle w:val="FirstParagraph"/>
      </w:pPr>
      <w:r>
        <w:t xml:space="preserve">Enacted by FY2022 NDAA §1683 (Pub. L. 117-81) and rewritten by FY2023 NDAA §6802 (Pub. L. 117-263),</w:t>
      </w:r>
      <w:r>
        <w:t xml:space="preserve"> </w:t>
      </w:r>
      <w:r>
        <w:t xml:space="preserve">with later amendments by FY2024 NDAA §7341 (Pub. L. 118-31) and FY2026 NDAA §§1671(a), 1672(b) (Pub.</w:t>
      </w:r>
      <w:r>
        <w:t xml:space="preserve"> </w:t>
      </w:r>
      <w:r>
        <w:t xml:space="preserve">L. 119-60, Dec. 18, 2025). Key features: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Definition.</w:t>
      </w:r>
      <w:r>
        <w:t xml:space="preserve"> </w:t>
      </w:r>
      <w:r>
        <w:t xml:space="preserve">“</w:t>
      </w:r>
      <w:r>
        <w:t xml:space="preserve">Unidentified anomalous phenomena</w:t>
      </w:r>
      <w:r>
        <w:t xml:space="preserve">”</w:t>
      </w:r>
      <w:r>
        <w:t xml:space="preserve"> </w:t>
      </w:r>
      <w:r>
        <w:t xml:space="preserve">means (A) airborne objects that are not</w:t>
      </w:r>
      <w:r>
        <w:t xml:space="preserve"> </w:t>
      </w:r>
      <w:r>
        <w:t xml:space="preserve">immediately identifiable; (B) transmedium objects or devices; and (C) submerged objects or devices</w:t>
      </w:r>
      <w:r>
        <w:t xml:space="preserve"> </w:t>
      </w:r>
      <w:r>
        <w:t xml:space="preserve">that are not immediately identifiable and that display behavior or performance characteristics</w:t>
      </w:r>
      <w:r>
        <w:t xml:space="preserve"> </w:t>
      </w:r>
      <w:r>
        <w:t xml:space="preserve">suggesting that they may be related to the objects in (A). 50 U.S.C. §3373(n)(8). The Code contains</w:t>
      </w:r>
      <w:r>
        <w:t xml:space="preserve"> </w:t>
      </w:r>
      <w:r>
        <w:t xml:space="preserve">no definition of</w:t>
      </w:r>
      <w:r>
        <w:t xml:space="preserve"> </w:t>
      </w:r>
      <w:r>
        <w:t xml:space="preserve">“</w:t>
      </w:r>
      <w:r>
        <w:t xml:space="preserve">non-human intelligence</w:t>
      </w:r>
      <w:r>
        <w:t xml:space="preserve">”</w:t>
      </w:r>
      <w:r>
        <w:t xml:space="preserve">; the term appears in the Records Collection’s description</w:t>
      </w:r>
      <w:r>
        <w:t xml:space="preserve"> </w:t>
      </w:r>
      <w:r>
        <w:t xml:space="preserve">of covered records (§1841(a)(1)(C)) and is defined only in the pending H.R. 8800 (§1773(13)).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Duties.</w:t>
      </w:r>
      <w:r>
        <w:t xml:space="preserve"> </w:t>
      </w:r>
      <w:r>
        <w:t xml:space="preserve">AARO standardizes collection and analysis of UAP incidents, including adverse</w:t>
      </w:r>
      <w:r>
        <w:t xml:space="preserve"> </w:t>
      </w:r>
      <w:r>
        <w:t xml:space="preserve">physiological effects, across the Department of War and the intelligence community, and prepares</w:t>
      </w:r>
      <w:r>
        <w:t xml:space="preserve"> </w:t>
      </w:r>
      <w:r>
        <w:t xml:space="preserve">classified and unclassified reports to Congress. §3373(c).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Historical record report.</w:t>
      </w:r>
      <w:r>
        <w:t xml:space="preserve"> </w:t>
      </w:r>
      <w:r>
        <w:t xml:space="preserve">AARO must report on the historical record of the intelligence</w:t>
      </w:r>
      <w:r>
        <w:t xml:space="preserve"> </w:t>
      </w:r>
      <w:r>
        <w:t xml:space="preserve">community’s involvement with UAP, including</w:t>
      </w:r>
      <w:r>
        <w:t xml:space="preserve"> </w:t>
      </w:r>
      <w:r>
        <w:t xml:space="preserve">“</w:t>
      </w:r>
      <w:r>
        <w:t xml:space="preserve">any program or activity that was protected by restricted</w:t>
      </w:r>
      <w:r>
        <w:t xml:space="preserve"> </w:t>
      </w:r>
      <w:r>
        <w:t xml:space="preserve">access that has not been explicitly and clearly reported to Congress.</w:t>
      </w:r>
      <w:r>
        <w:t xml:space="preserve">”</w:t>
      </w:r>
      <w:r>
        <w:t xml:space="preserve"> </w:t>
      </w:r>
      <w:r>
        <w:t xml:space="preserve">§3373(j). Volume 1 issued in</w:t>
      </w:r>
      <w:r>
        <w:t xml:space="preserve"> </w:t>
      </w:r>
      <w:r>
        <w:t xml:space="preserve">March 2024. The FY2025 NDAA (§6802, Pub. L. 118-159) sunset the related GAO audit requirements 90 and</w:t>
      </w:r>
      <w:r>
        <w:t xml:space="preserve"> </w:t>
      </w:r>
      <w:r>
        <w:t xml:space="preserve">180 days after delivery of the final volume.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Intercepts.</w:t>
      </w:r>
      <w:r>
        <w:t xml:space="preserve"> </w:t>
      </w:r>
      <w:r>
        <w:t xml:space="preserve">The FY2026 NDAA added §3373(l)(5): AARO’s periodic briefings must include details of</w:t>
      </w:r>
      <w:r>
        <w:t xml:space="preserve"> </w:t>
      </w:r>
      <w:r>
        <w:t xml:space="preserve">UAP intercepts by NORAD and U.S. Northern Command, with a summary of the number, location, and nature</w:t>
      </w:r>
      <w:r>
        <w:t xml:space="preserve"> </w:t>
      </w:r>
      <w:r>
        <w:t xml:space="preserve">of intercepts and the procedures followed, and AARO must tell the committees if those commands fail</w:t>
      </w:r>
      <w:r>
        <w:t xml:space="preserve"> </w:t>
      </w:r>
      <w:r>
        <w:t xml:space="preserve">to provide timely information. The first briefing after enactment must reach back to January 1, 2004.</w:t>
      </w:r>
      <w:r>
        <w:t xml:space="preserve"> </w:t>
      </w:r>
      <w:r>
        <w:t xml:space="preserve">FY2026 NDAA §1671(b).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Data access.</w:t>
      </w:r>
      <w:r>
        <w:t xml:space="preserve"> </w:t>
      </w:r>
      <w:r>
        <w:t xml:space="preserve">As amended by FY2026 NDAA §1672(b), the DNI and the Secretary must</w:t>
      </w:r>
      <w:r>
        <w:t xml:space="preserve"> </w:t>
      </w:r>
      <w:r>
        <w:t xml:space="preserve">“</w:t>
      </w:r>
      <w:r>
        <w:t xml:space="preserve">jointly require</w:t>
      </w:r>
      <w:r>
        <w:t xml:space="preserve"> </w:t>
      </w:r>
      <w:r>
        <w:t xml:space="preserve">that each element of the intelligence community and component of the Department of Defense with data</w:t>
      </w:r>
      <w:r>
        <w:t xml:space="preserve"> </w:t>
      </w:r>
      <w:r>
        <w:t xml:space="preserve">relating to unidentified anomalous phenomena makes such data available immediately to the Office in</w:t>
      </w:r>
      <w:r>
        <w:t xml:space="preserve"> </w:t>
      </w:r>
      <w:r>
        <w:t xml:space="preserve">a manner that protects intelligence sources and methods.</w:t>
      </w:r>
      <w:r>
        <w:t xml:space="preserve">”</w:t>
      </w:r>
      <w:r>
        <w:t xml:space="preserve"> </w:t>
      </w:r>
      <w:r>
        <w:t xml:space="preserve">§3373(f)(1)(A).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Classification guides.</w:t>
      </w:r>
      <w:r>
        <w:t xml:space="preserve"> </w:t>
      </w:r>
      <w:r>
        <w:t xml:space="preserve">FY2026 NDAA §1673 required AARO, within 180 days, to account for the</w:t>
      </w:r>
      <w:r>
        <w:t xml:space="preserve"> </w:t>
      </w:r>
      <w:r>
        <w:t xml:space="preserve">security classification guides that apply to UAP reporting and investigations and permitted a</w:t>
      </w:r>
      <w:r>
        <w:t xml:space="preserve"> </w:t>
      </w:r>
      <w:r>
        <w:t xml:space="preserve">consolidated classification matrix, to be reported in the 2026 annual report.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Repeal of §3373a.</w:t>
      </w:r>
      <w:r>
        <w:t xml:space="preserve"> </w:t>
      </w:r>
      <w:r>
        <w:t xml:space="preserve">FY2026 NDAA §1672(a) repealed IAA FY2022 §413 (50 U.S.C. §3373a) as a</w:t>
      </w:r>
      <w:r>
        <w:t xml:space="preserve"> </w:t>
      </w:r>
      <w:r>
        <w:t xml:space="preserve">duplicative reporting requirement.</w:t>
      </w:r>
    </w:p>
    <w:bookmarkEnd w:id="24"/>
    <w:bookmarkStart w:id="26" w:name="X9ffa228758f74d44b642a0e59126e0b5771806a"/>
    <w:p>
      <w:pPr>
        <w:pStyle w:val="Heading3"/>
      </w:pPr>
      <w:r>
        <w:t xml:space="preserve">2.2 The authorized disclosure channel: 50 U.S.C. §3373b</w:t>
      </w:r>
    </w:p>
    <w:p>
      <w:pPr>
        <w:pStyle w:val="FirstParagraph"/>
      </w:pPr>
      <w:r>
        <w:t xml:space="preserve">FY2023 NDAA §1673 requires the Secretary, in consultation with the DNI, to establish a secure</w:t>
      </w:r>
      <w:r>
        <w:t xml:space="preserve"> </w:t>
      </w:r>
      <w:r>
        <w:t xml:space="preserve">mechanism for authorized reporting of (A) any UAP event and (B)</w:t>
      </w:r>
      <w:r>
        <w:t xml:space="preserve"> </w:t>
      </w:r>
      <w:r>
        <w:t xml:space="preserve">“</w:t>
      </w:r>
      <w:r>
        <w:t xml:space="preserve">any activity or program by a</w:t>
      </w:r>
      <w:r>
        <w:t xml:space="preserve"> </w:t>
      </w:r>
      <w:r>
        <w:t xml:space="preserve">department or agency of the Federal Government or a contractor … relating to unidentified anomalous</w:t>
      </w:r>
      <w:r>
        <w:t xml:space="preserve"> </w:t>
      </w:r>
      <w:r>
        <w:t xml:space="preserve">phenomena, including with respect to material retrieval, material analysis, reverse engineering,</w:t>
      </w:r>
      <w:r>
        <w:t xml:space="preserve"> </w:t>
      </w:r>
      <w:r>
        <w:t xml:space="preserve">research and development, detection and tracking, developmental or operational testing, and security</w:t>
      </w:r>
      <w:r>
        <w:t xml:space="preserve"> </w:t>
      </w:r>
      <w:r>
        <w:t xml:space="preserve">protections and enforcement.</w:t>
      </w:r>
      <w:r>
        <w:t xml:space="preserve">”</w:t>
      </w:r>
      <w:r>
        <w:t xml:space="preserve"> </w:t>
      </w:r>
      <w:r>
        <w:t xml:space="preserve">§3373b(a)(1). The mechanism must be staffed by</w:t>
      </w:r>
      <w:r>
        <w:t xml:space="preserve"> </w:t>
      </w:r>
      <w:r>
        <w:t xml:space="preserve">cleared personnel, must share disclosures promptly with AARO regardless of classification, and must</w:t>
      </w:r>
      <w:r>
        <w:t xml:space="preserve"> </w:t>
      </w:r>
      <w:r>
        <w:t xml:space="preserve">notify the defense and intelligence committees within 72 hours when a disclosure relates to a</w:t>
      </w:r>
      <w:r>
        <w:t xml:space="preserve"> </w:t>
      </w:r>
      <w:r>
        <w:t xml:space="preserve">restricted access, special access, or compartmented program not</w:t>
      </w:r>
      <w:r>
        <w:t xml:space="preserve"> </w:t>
      </w:r>
      <w:r>
        <w:t xml:space="preserve">“</w:t>
      </w:r>
      <w:r>
        <w:t xml:space="preserve">explicitly and clearly reported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r>
        <w:t xml:space="preserve">them. §3373b(a)(4).</w:t>
      </w:r>
    </w:p>
    <w:p>
      <w:pPr>
        <w:pStyle w:val="BodyText"/>
      </w:pPr>
      <w:r>
        <w:t xml:space="preserve">The protections for the person making the disclosure are the strongest in UAP law. An authorized</w:t>
      </w:r>
      <w:r>
        <w:t xml:space="preserve"> </w:t>
      </w:r>
      <w:r>
        <w:t xml:space="preserve">disclosure:</w:t>
      </w:r>
    </w:p>
    <w:p>
      <w:pPr>
        <w:pStyle w:val="BlockText"/>
      </w:pPr>
      <w:r>
        <w:t xml:space="preserve">“</w:t>
      </w:r>
      <w:r>
        <w:t xml:space="preserve">(A) shall not be subject to a nondisclosure agreement entered into by the individual who makes the</w:t>
      </w:r>
      <w:r>
        <w:t xml:space="preserve"> </w:t>
      </w:r>
      <w:r>
        <w:t xml:space="preserve">disclosure; (B) shall be deemed to comply with any regulation or order issued under the authority of</w:t>
      </w:r>
      <w:r>
        <w:t xml:space="preserve"> </w:t>
      </w:r>
      <w:r>
        <w:t xml:space="preserve">Executive Order 13526 … or chapter 18 of the Atomic Energy Act of 1954 …; and (C) is not a</w:t>
      </w:r>
      <w:r>
        <w:t xml:space="preserve"> </w:t>
      </w:r>
      <w:r>
        <w:t xml:space="preserve">violation of section 798 of title 18, or other provision of law relating to the disclosure of</w:t>
      </w:r>
      <w:r>
        <w:t xml:space="preserve"> </w:t>
      </w:r>
      <w:r>
        <w:t xml:space="preserve">information.</w:t>
      </w:r>
      <w:r>
        <w:t xml:space="preserve">”</w:t>
      </w:r>
      <w:r>
        <w:t xml:space="preserve"> </w:t>
      </w:r>
      <w:r>
        <w:t xml:space="preserve">50 U.S.C. §3373b(b)(1).</w:t>
      </w:r>
    </w:p>
    <w:p>
      <w:pPr>
        <w:pStyle w:val="FirstParagraph"/>
      </w:pPr>
      <w:r>
        <w:t xml:space="preserve">Federal and contractor supervisors may not take or threaten personnel actions in reprisal, enforced</w:t>
      </w:r>
      <w:r>
        <w:t xml:space="preserve"> </w:t>
      </w:r>
      <w:r>
        <w:t xml:space="preserve">through procedures consistent with 10 U.S.C. §1034 and 50 U.S.C. §3234. §3373b(b)(2).</w:t>
      </w:r>
    </w:p>
    <w:p>
      <w:pPr>
        <w:pStyle w:val="BodyText"/>
      </w:pPr>
      <w:r>
        <w:t xml:space="preserve">These protections reach further than the Department of War’s September 14, 2026 PURSUE waiver,</w:t>
      </w:r>
      <w:r>
        <w:t xml:space="preserve"> </w:t>
      </w:r>
      <w:r>
        <w:t xml:space="preserve">which by public accounts supersedes only the civil and administrative enforcement provisions of NDAs</w:t>
      </w:r>
      <w:r>
        <w:t xml:space="preserve"> </w:t>
      </w:r>
      <w:r>
        <w:t xml:space="preserve">and SAP indoctrination agreements for communications to the PURSUE team. Subsection (b)(1)(C) is a</w:t>
      </w:r>
      <w:r>
        <w:t xml:space="preserve"> </w:t>
      </w:r>
      <w:r>
        <w:t xml:space="preserve">statutory exemption from criminal disclosure laws for authorized disclosures to AARO. Counsel advising</w:t>
      </w:r>
      <w:r>
        <w:t xml:space="preserve"> </w:t>
      </w:r>
      <w:r>
        <w:t xml:space="preserve">a cleared client should route disclosure through the §3373b mechanism, confirm in writing that the</w:t>
      </w:r>
      <w:r>
        <w:t xml:space="preserve"> </w:t>
      </w:r>
      <w:r>
        <w:t xml:space="preserve">channel used qualifies as the</w:t>
      </w:r>
      <w:r>
        <w:t xml:space="preserve"> </w:t>
      </w:r>
      <w:r>
        <w:t xml:space="preserve">“</w:t>
      </w:r>
      <w:r>
        <w:t xml:space="preserve">mechanism for authorized reporting,</w:t>
      </w:r>
      <w:r>
        <w:t xml:space="preserve">”</w:t>
      </w:r>
      <w:r>
        <w:t xml:space="preserve"> </w:t>
      </w:r>
      <w:r>
        <w:t xml:space="preserve">and avoid any disclosure outside</w:t>
      </w:r>
      <w:r>
        <w:t xml:space="preserve"> </w:t>
      </w:r>
      <w:r>
        <w:t xml:space="preserve">it. Issues C1 through C3 develop the details.</w:t>
      </w:r>
    </w:p>
    <w:p>
      <w:pPr>
        <w:pStyle w:val="BodyText"/>
      </w:pPr>
      <w:r>
        <w:rPr>
          <w:bCs/>
          <w:b/>
        </w:rPr>
        <w:t xml:space="preserve">Using a channel run by an office the site assumes is compromised.</w:t>
      </w:r>
      <w:r>
        <w:t xml:space="preserve"> </w:t>
      </w:r>
      <w:r>
        <w:t xml:space="preserve">The site’s working premise is that AARO is a</w:t>
      </w:r>
      <w:r>
        <w:t xml:space="preserve"> </w:t>
      </w:r>
      <w:r>
        <w:t xml:space="preserve">deliberate disinformation source and part of the concealment; a former UAP Task Force director has described it as</w:t>
      </w:r>
      <w:r>
        <w:t xml:space="preserve"> </w:t>
      </w:r>
      <w:r>
        <w:t xml:space="preserve">“</w:t>
      </w:r>
      <w:r>
        <w:t xml:space="preserve">really a front for the Legacy Program</w:t>
      </w:r>
      <w:r>
        <w:t xml:space="preserve">”</w:t>
      </w:r>
      <w:r>
        <w:t xml:space="preserve"> </w:t>
      </w:r>
      <w:r>
        <w:t xml:space="preserve">(Jay 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ch. 62 (2026)). The statute still</w:t>
      </w:r>
      <w:r>
        <w:t xml:space="preserve"> </w:t>
      </w:r>
      <w:r>
        <w:t xml:space="preserve">matters on that premise, because the protection in §3373b(b)(1) attaches to the act of authorized disclosure, not to</w:t>
      </w:r>
      <w:r>
        <w:t xml:space="preserve"> </w:t>
      </w:r>
      <w:r>
        <w:t xml:space="preserve">anything AARO later does with it. The practical consequences are three. First, never rely on AARO to act on, preserve,</w:t>
      </w:r>
      <w:r>
        <w:t xml:space="preserve"> </w:t>
      </w:r>
      <w:r>
        <w:t xml:space="preserve">or accurately characterize a disclosure. Second, use §3373b(a)(4)(B) as a check: ask the defense and intelligence</w:t>
      </w:r>
      <w:r>
        <w:t xml:space="preserve"> </w:t>
      </w:r>
      <w:r>
        <w:t xml:space="preserve">committees, through the member’s office, to confirm that they received the 72-hour notification for a disclosure</w:t>
      </w:r>
      <w:r>
        <w:t xml:space="preserve"> </w:t>
      </w:r>
      <w:r>
        <w:t xml:space="preserve">concerning an unreported program. Third, make the same disclosure in parallel to an inspector general or the</w:t>
      </w:r>
      <w:r>
        <w:t xml:space="preserve"> </w:t>
      </w:r>
      <w:r>
        <w:t xml:space="preserve">Intelligence Community Inspector General, whose channels are independent of AARO (</w:t>
      </w:r>
      <w:hyperlink r:id="rId22">
        <w:r>
          <w:rPr>
            <w:rStyle w:val="Hyperlink"/>
          </w:rPr>
          <w:t xml:space="preserve">Issue C1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Executive branch objection during enactment.</w:t>
      </w:r>
      <w:r>
        <w:t xml:space="preserve"> </w:t>
      </w:r>
      <w:r>
        <w:t xml:space="preserve">DoD opposed the House version of the provision (H.R. 7900,</w:t>
      </w:r>
      <w:r>
        <w:t xml:space="preserve"> </w:t>
      </w:r>
      <w:r>
        <w:t xml:space="preserve">§1663) in a</w:t>
      </w:r>
      <w:r>
        <w:t xml:space="preserve"> </w:t>
      </w:r>
      <w:r>
        <w:t xml:space="preserve">“</w:t>
      </w:r>
      <w:r>
        <w:t xml:space="preserve">Priority Department of Defense Language Appeal</w:t>
      </w:r>
      <w:r>
        <w:t xml:space="preserve">”</w:t>
      </w:r>
      <w:r>
        <w:t xml:space="preserve"> </w:t>
      </w:r>
      <w:r>
        <w:t xml:space="preserve">to the FY2023 NDAA conferees, released under</w:t>
      </w:r>
      <w:r>
        <w:t xml:space="preserve"> </w:t>
      </w:r>
      <w:r>
        <w:t xml:space="preserve">FOIA as DoD 23-F-0241. DoD argued that the provision</w:t>
      </w:r>
      <w:r>
        <w:t xml:space="preserve"> </w:t>
      </w:r>
      <w:r>
        <w:t xml:space="preserve">“</w:t>
      </w:r>
      <w:r>
        <w:t xml:space="preserve">could intrude on the</w:t>
      </w:r>
      <w:r>
        <w:t xml:space="preserve"> </w:t>
      </w:r>
      <w:r>
        <w:t xml:space="preserve">President’s constitutional authority to manage classified information, information security, and</w:t>
      </w:r>
      <w:r>
        <w:t xml:space="preserve"> </w:t>
      </w:r>
      <w:r>
        <w:t xml:space="preserve">information security systems,</w:t>
      </w:r>
      <w:r>
        <w:t xml:space="preserve">”</w:t>
      </w:r>
      <w:r>
        <w:t xml:space="preserve"> </w:t>
      </w:r>
      <w:r>
        <w:t xml:space="preserve">that a publicly acknowledged system for receiving classified and</w:t>
      </w:r>
      <w:r>
        <w:t xml:space="preserve"> </w:t>
      </w:r>
      <w:r>
        <w:t xml:space="preserve">compartmented information posed counterintelligence risks, that the requirement for</w:t>
      </w:r>
      <w:r>
        <w:t xml:space="preserve"> </w:t>
      </w:r>
      <w:r>
        <w:t xml:space="preserve">“</w:t>
      </w:r>
      <w:r>
        <w:t xml:space="preserve">widely known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easily accessible</w:t>
      </w:r>
      <w:r>
        <w:t xml:space="preserve">”</w:t>
      </w:r>
      <w:r>
        <w:t xml:space="preserve"> </w:t>
      </w:r>
      <w:r>
        <w:t xml:space="preserve">staff endangered AARO personnel, and that existing authorities let the Secretary</w:t>
      </w:r>
      <w:r>
        <w:t xml:space="preserve"> </w:t>
      </w:r>
      <w:r>
        <w:t xml:space="preserve">“</w:t>
      </w:r>
      <w:r>
        <w:t xml:space="preserve">authorize Department personnel to receive information, regardless of classification, in a protected</w:t>
      </w:r>
      <w:r>
        <w:t xml:space="preserve"> </w:t>
      </w:r>
      <w:r>
        <w:t xml:space="preserve">manner consistent with Executive Order 13526, Executive Order 12968.</w:t>
      </w:r>
      <w:r>
        <w:t xml:space="preserve">”</w:t>
      </w:r>
      <w:r>
        <w:t xml:space="preserve"> </w:t>
      </w:r>
      <w:r>
        <w:t xml:space="preserve">It urged that the House provision be</w:t>
      </w:r>
      <w:r>
        <w:t xml:space="preserve"> </w:t>
      </w:r>
      <w:r>
        <w:t xml:space="preserve">dropped or revised. The enacted §3373b nonetheless created the mechanism and the subsection (b)(1)</w:t>
      </w:r>
      <w:r>
        <w:t xml:space="preserve"> </w:t>
      </w:r>
      <w:r>
        <w:t xml:space="preserve">protections. Counsel defending a client who relied on §3373b should expect the government to repeat the</w:t>
      </w:r>
      <w:r>
        <w:t xml:space="preserve"> </w:t>
      </w:r>
      <w:r>
        <w:t xml:space="preserve">Article II argument (</w:t>
      </w:r>
      <w:hyperlink r:id="rId25">
        <w:r>
          <w:rPr>
            <w:rStyle w:val="Hyperlink"/>
          </w:rPr>
          <w:t xml:space="preserve">Issue A2</w:t>
        </w:r>
      </w:hyperlink>
      <w:r>
        <w:t xml:space="preserve">) and should answer that DoD raised it, and Congress enacted the statute over</w:t>
      </w:r>
      <w:r>
        <w:t xml:space="preserve"> </w:t>
      </w:r>
      <w:r>
        <w:t xml:space="preserve">it.</w:t>
      </w:r>
    </w:p>
    <w:bookmarkEnd w:id="26"/>
    <w:bookmarkStart w:id="27" w:name="Xd2f5fdcddfe2916830561321154c499c7d9d689"/>
    <w:p>
      <w:pPr>
        <w:pStyle w:val="Heading3"/>
      </w:pPr>
      <w:r>
        <w:t xml:space="preserve">2.3 The UAP Records Collection: FY2024 NDAA §§1841-1843</w:t>
      </w:r>
    </w:p>
    <w:p>
      <w:pPr>
        <w:pStyle w:val="FirstParagraph"/>
      </w:pPr>
      <w:r>
        <w:t xml:space="preserve">This is the enacted part of the Schumer-Rounds UAP Disclosure Act of 2023 (S. Amdt. 797). Key</w:t>
      </w:r>
      <w:r>
        <w:t xml:space="preserve"> </w:t>
      </w:r>
      <w:r>
        <w:t xml:space="preserve">provisions: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Scope.</w:t>
      </w:r>
      <w:r>
        <w:t xml:space="preserve"> </w:t>
      </w:r>
      <w:r>
        <w:t xml:space="preserve">The Collection consists of</w:t>
      </w:r>
      <w:r>
        <w:t xml:space="preserve"> </w:t>
      </w:r>
      <w:r>
        <w:t xml:space="preserve">“</w:t>
      </w:r>
      <w:r>
        <w:t xml:space="preserve">record copies of all Government, Government-provided, or</w:t>
      </w:r>
      <w:r>
        <w:t xml:space="preserve"> </w:t>
      </w:r>
      <w:r>
        <w:t xml:space="preserve">Government-funded records relating to unidentified anomalous phenomena, technologies of unknown</w:t>
      </w:r>
      <w:r>
        <w:t xml:space="preserve"> </w:t>
      </w:r>
      <w:r>
        <w:t xml:space="preserve">origin, and non-human intelligence (or equivalent subjects by any other name with the specific and</w:t>
      </w:r>
      <w:r>
        <w:t xml:space="preserve"> </w:t>
      </w:r>
      <w:r>
        <w:t xml:space="preserve">sole exclusion of temporarily non-attributed objects).</w:t>
      </w:r>
      <w:r>
        <w:t xml:space="preserve">”</w:t>
      </w:r>
      <w:r>
        <w:t xml:space="preserve"> </w:t>
      </w:r>
      <w:r>
        <w:t xml:space="preserve">§1841(a)(1)(C).</w:t>
      </w:r>
      <w:r>
        <w:t xml:space="preserve"> </w:t>
      </w:r>
      <w:r>
        <w:t xml:space="preserve">“</w:t>
      </w:r>
      <w:r>
        <w:t xml:space="preserve">Government-funded</w:t>
      </w:r>
      <w:r>
        <w:t xml:space="preserve">”</w:t>
      </w:r>
      <w:r>
        <w:t xml:space="preserve"> </w:t>
      </w:r>
      <w:r>
        <w:t xml:space="preserve">reaches</w:t>
      </w:r>
      <w:r>
        <w:t xml:space="preserve"> </w:t>
      </w:r>
      <w:r>
        <w:t xml:space="preserve">contractor records produced with federal funds. The one exclusion,</w:t>
      </w:r>
      <w:r>
        <w:t xml:space="preserve"> </w:t>
      </w:r>
      <w:r>
        <w:t xml:space="preserve">“</w:t>
      </w:r>
      <w:r>
        <w:t xml:space="preserve">temporarily non-attributed objects,</w:t>
      </w:r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undefined in the enacted text. Read with the 2023 bill it was taken from, it covers objects that are unidentified</w:t>
      </w:r>
      <w:r>
        <w:t xml:space="preserve"> </w:t>
      </w:r>
      <w:r>
        <w:t xml:space="preserve">only for the moment and are later resolved as ordinary (balloons, drones, debris). An agency that wants to keep a</w:t>
      </w:r>
      <w:r>
        <w:t xml:space="preserve"> </w:t>
      </w:r>
      <w:r>
        <w:t xml:space="preserve">record out of the Collection will try to fit it into that exclusion, so requests should ask whether any record was</w:t>
      </w:r>
      <w:r>
        <w:t xml:space="preserve"> </w:t>
      </w:r>
      <w:r>
        <w:t xml:space="preserve">withheld on that ground and on what attribution.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Agency duties.</w:t>
      </w:r>
      <w:r>
        <w:t xml:space="preserve"> </w:t>
      </w:r>
      <w:r>
        <w:t xml:space="preserve">Each head of a</w:t>
      </w:r>
      <w:r>
        <w:t xml:space="preserve"> </w:t>
      </w:r>
      <w:r>
        <w:t xml:space="preserve">“</w:t>
      </w:r>
      <w:r>
        <w:t xml:space="preserve">Government office</w:t>
      </w:r>
      <w:r>
        <w:t xml:space="preserve">”</w:t>
      </w:r>
      <w:r>
        <w:t xml:space="preserve"> </w:t>
      </w:r>
      <w:r>
        <w:t xml:space="preserve">must identify and organize UAP records and</w:t>
      </w:r>
      <w:r>
        <w:t xml:space="preserve"> </w:t>
      </w:r>
      <w:r>
        <w:t xml:space="preserve">prepare them for transmission (§1842(a)(1)); must review them within 300 days of enactment for</w:t>
      </w:r>
      <w:r>
        <w:t xml:space="preserve"> </w:t>
      </w:r>
      <w:r>
        <w:t xml:space="preserve">public disclosure and transmission (§1842(c)(1)); and must transmit them. NARA asked agencies to begin</w:t>
      </w:r>
      <w:r>
        <w:t xml:space="preserve"> </w:t>
      </w:r>
      <w:r>
        <w:t xml:space="preserve">transfers before September 30, 2025.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Prohibitions.</w:t>
      </w:r>
      <w:r>
        <w:t xml:space="preserve"> </w:t>
      </w:r>
      <w:r>
        <w:t xml:space="preserve">No UAP record may be</w:t>
      </w:r>
      <w:r>
        <w:t xml:space="preserve"> </w:t>
      </w:r>
      <w:r>
        <w:t xml:space="preserve">“</w:t>
      </w:r>
      <w:r>
        <w:t xml:space="preserve">destroyed, altered, or mutilated in any way</w:t>
      </w:r>
      <w:r>
        <w:t xml:space="preserve">”</w:t>
      </w:r>
      <w:r>
        <w:t xml:space="preserve">; no record</w:t>
      </w:r>
      <w:r>
        <w:t xml:space="preserve"> </w:t>
      </w:r>
      <w:r>
        <w:t xml:space="preserve">previously made public may be withheld, redacted, postponed, or reclassified; and no record</w:t>
      </w:r>
      <w:r>
        <w:t xml:space="preserve"> </w:t>
      </w:r>
      <w:r>
        <w:t xml:space="preserve">“</w:t>
      </w:r>
      <w:r>
        <w:t xml:space="preserve">created</w:t>
      </w:r>
      <w:r>
        <w:t xml:space="preserve"> </w:t>
      </w:r>
      <w:r>
        <w:t xml:space="preserve">by a person or entity outside the Federal Government</w:t>
      </w:r>
      <w:r>
        <w:t xml:space="preserve">”</w:t>
      </w:r>
      <w:r>
        <w:t xml:space="preserve"> </w:t>
      </w:r>
      <w:r>
        <w:t xml:space="preserve">may be withheld, redacted, postponed, or</w:t>
      </w:r>
      <w:r>
        <w:t xml:space="preserve"> </w:t>
      </w:r>
      <w:r>
        <w:t xml:space="preserve">reclassified, except for names or identities protected under §1843. §1842(a)(2).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Postponement.</w:t>
      </w:r>
      <w:r>
        <w:t xml:space="preserve"> </w:t>
      </w:r>
      <w:r>
        <w:t xml:space="preserve">Disclosure may be postponed only if</w:t>
      </w:r>
      <w:r>
        <w:t xml:space="preserve"> </w:t>
      </w:r>
      <w:r>
        <w:t xml:space="preserve">“</w:t>
      </w:r>
      <w:r>
        <w:t xml:space="preserve">the original classification authority makes a</w:t>
      </w:r>
      <w:r>
        <w:t xml:space="preserve"> </w:t>
      </w:r>
      <w:r>
        <w:t xml:space="preserve">determination that there is clear and convincing evidence</w:t>
      </w:r>
      <w:r>
        <w:t xml:space="preserve">”</w:t>
      </w:r>
      <w:r>
        <w:t xml:space="preserve"> </w:t>
      </w:r>
      <w:r>
        <w:t xml:space="preserve">that one of four grounds applies: (1) a</w:t>
      </w:r>
      <w:r>
        <w:t xml:space="preserve"> </w:t>
      </w:r>
      <w:r>
        <w:t xml:space="preserve">threat to military defense, intelligence operations, or foreign relations of such gravity that it</w:t>
      </w:r>
      <w:r>
        <w:t xml:space="preserve"> </w:t>
      </w:r>
      <w:r>
        <w:t xml:space="preserve">outweighs the public interest, where disclosure would reveal a protected agent, a currently used</w:t>
      </w:r>
      <w:r>
        <w:t xml:space="preserve"> </w:t>
      </w:r>
      <w:r>
        <w:t xml:space="preserve">source or method not officially disclosed, or another matter whose disclosure</w:t>
      </w:r>
      <w:r>
        <w:t xml:space="preserve"> </w:t>
      </w:r>
      <w:r>
        <w:t xml:space="preserve">“</w:t>
      </w:r>
      <w:r>
        <w:t xml:space="preserve">would demonstrably</w:t>
      </w:r>
      <w:r>
        <w:t xml:space="preserve"> </w:t>
      </w:r>
      <w:r>
        <w:t xml:space="preserve">and substantially impair the national security</w:t>
      </w:r>
      <w:r>
        <w:t xml:space="preserve">”</w:t>
      </w:r>
      <w:r>
        <w:t xml:space="preserve">; (2) a Privacy Act violation; (3) an unwarranted</w:t>
      </w:r>
      <w:r>
        <w:t xml:space="preserve"> </w:t>
      </w:r>
      <w:r>
        <w:t xml:space="preserve">invasion of personal privacy that outweighs the public interest; or (4) compromise of a current</w:t>
      </w:r>
      <w:r>
        <w:t xml:space="preserve"> </w:t>
      </w:r>
      <w:r>
        <w:t xml:space="preserve">understanding of confidentiality with a cooperating individual or foreign government. §1843(a).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Periodic review and the 25-year rule.</w:t>
      </w:r>
      <w:r>
        <w:t xml:space="preserve"> </w:t>
      </w:r>
      <w:r>
        <w:t xml:space="preserve">Postponed records must be reviewed periodically by the</w:t>
      </w:r>
      <w:r>
        <w:t xml:space="preserve"> </w:t>
      </w:r>
      <w:r>
        <w:t xml:space="preserve">originating agency and the Archivist; continued postponement requires an unclassified written</w:t>
      </w:r>
      <w:r>
        <w:t xml:space="preserve"> </w:t>
      </w:r>
      <w:r>
        <w:t xml:space="preserve">description of the reason, published in the Federal Register; and every UAP record must be disclosed</w:t>
      </w:r>
      <w:r>
        <w:t xml:space="preserve"> </w:t>
      </w:r>
      <w:r>
        <w:t xml:space="preserve">in full no later than 25 years after its creation unless the President certifies that continued</w:t>
      </w:r>
      <w:r>
        <w:t xml:space="preserve"> </w:t>
      </w:r>
      <w:r>
        <w:t xml:space="preserve">postponement is necessary because of an identifiable harm to military defense, intelligence</w:t>
      </w:r>
      <w:r>
        <w:t xml:space="preserve"> </w:t>
      </w:r>
      <w:r>
        <w:t xml:space="preserve">operations, law enforcement, or foreign relations that outweighs the public interest. §1842(g)(2).</w:t>
      </w:r>
      <w:r>
        <w:t xml:space="preserve"> </w:t>
      </w:r>
      <w:r>
        <w:t xml:space="preserve">Many Cold War-era UAP records are already past 25 years, which makes the certification requirement</w:t>
      </w:r>
      <w:r>
        <w:t xml:space="preserve"> </w:t>
      </w:r>
      <w:r>
        <w:t xml:space="preserve">immediately relevant.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Withdrawal.</w:t>
      </w:r>
      <w:r>
        <w:t xml:space="preserve"> </w:t>
      </w:r>
      <w:r>
        <w:t xml:space="preserve">Senior agency officials may withdraw records from the Collection only if they are</w:t>
      </w:r>
      <w:r>
        <w:t xml:space="preserve"> </w:t>
      </w:r>
      <w:r>
        <w:t xml:space="preserve">both unrelated to UAP and properly classified, with notice to congressional leadership and the</w:t>
      </w:r>
      <w:r>
        <w:t xml:space="preserve"> </w:t>
      </w:r>
      <w:r>
        <w:t xml:space="preserve">oversight committees. §1843(b).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Oversight.</w:t>
      </w:r>
      <w:r>
        <w:t xml:space="preserve"> </w:t>
      </w:r>
      <w:r>
        <w:t xml:space="preserve">Senate HSGAC, Armed Services, and Intelligence, and House Oversight, Armed Services,</w:t>
      </w:r>
      <w:r>
        <w:t xml:space="preserve"> </w:t>
      </w:r>
      <w:r>
        <w:t xml:space="preserve">and Intelligence share oversight jurisdiction. §1841(e).</w:t>
      </w:r>
    </w:p>
    <w:bookmarkEnd w:id="27"/>
    <w:bookmarkStart w:id="29" w:name="Xb5cf2bca8b204ef465fa711f67798c1e271947f"/>
    <w:p>
      <w:pPr>
        <w:pStyle w:val="Heading3"/>
      </w:pPr>
      <w:r>
        <w:t xml:space="preserve">2.4 Funding limitation and contractor IRAD: FY2024 NDAA §1687</w:t>
      </w:r>
    </w:p>
    <w:p>
      <w:pPr>
        <w:pStyle w:val="FirstParagraph"/>
      </w:pPr>
      <w:r>
        <w:t xml:space="preserve">Section 1687(a) provided that none of the funds authorized by the FY2024 Act</w:t>
      </w:r>
      <w:r>
        <w:t xml:space="preserve"> </w:t>
      </w:r>
      <w:r>
        <w:t xml:space="preserve">“</w:t>
      </w:r>
      <w:r>
        <w:t xml:space="preserve">may be obligated or</w:t>
      </w:r>
      <w:r>
        <w:t xml:space="preserve"> </w:t>
      </w:r>
      <w:r>
        <w:t xml:space="preserve">expended in support of any activities involving unidentified anomalous phenomena protected under any</w:t>
      </w:r>
      <w:r>
        <w:t xml:space="preserve"> </w:t>
      </w:r>
      <w:r>
        <w:t xml:space="preserve">form of special access or restricted access limitations unless the Secretary of Defense has provided</w:t>
      </w:r>
      <w:r>
        <w:t xml:space="preserve"> </w:t>
      </w:r>
      <w:r>
        <w:t xml:space="preserve">the details of the activity to the appropriate congressional committees and congressional leadership,</w:t>
      </w:r>
      <w:r>
        <w:t xml:space="preserve">”</w:t>
      </w:r>
      <w:r>
        <w:t xml:space="preserve"> </w:t>
      </w:r>
      <w:r>
        <w:t xml:space="preserve">including activities described in an AARO report released in fiscal year 2024. The FY2025 NDAA contains no</w:t>
      </w:r>
      <w:r>
        <w:t xml:space="preserve"> </w:t>
      </w:r>
      <w:r>
        <w:t xml:space="preserve">counterpart, so the limitation lapsed with the FY2024 funds. Its significance now is historical</w:t>
      </w:r>
      <w:r>
        <w:t xml:space="preserve"> </w:t>
      </w:r>
      <w:r>
        <w:t xml:space="preserve">and criminal: activities funded in violation of it during FY2024 raise Antideficiency Act and</w:t>
      </w:r>
      <w:r>
        <w:t xml:space="preserve"> </w:t>
      </w:r>
      <w:r>
        <w:t xml:space="preserve">conspiracy-to-defraud questions (Issues D1, D3; compare</w:t>
      </w:r>
      <w:r>
        <w:t xml:space="preserve"> </w:t>
      </w:r>
      <w:r>
        <w:rPr>
          <w:iCs/>
          <w:i/>
        </w:rPr>
        <w:t xml:space="preserve">United States v. North</w:t>
      </w:r>
      <w:r>
        <w:t xml:space="preserve">, 708 F. Supp. 375</w:t>
      </w:r>
      <w:r>
        <w:t xml:space="preserve"> </w:t>
      </w:r>
      <w:r>
        <w:t xml:space="preserve">(D.D.C. 1988), on concealment of activity barred by the Boland Amendments).</w:t>
      </w:r>
    </w:p>
    <w:p>
      <w:pPr>
        <w:pStyle w:val="BodyText"/>
      </w:pPr>
      <w:r>
        <w:t xml:space="preserve">Section 1687(b), codified as a note to 50 U.S.C. §3373, is drafted differently and may remain in force.</w:t>
      </w:r>
      <w:r>
        <w:t xml:space="preserve"> </w:t>
      </w:r>
      <w:r>
        <w:t xml:space="preserve">It provides that, consistent with DoD Instruction 3204.01 (independent research and development</w:t>
      </w:r>
      <w:r>
        <w:t xml:space="preserve"> </w:t>
      </w:r>
      <w:r>
        <w:t xml:space="preserve">oversight),</w:t>
      </w:r>
      <w:r>
        <w:t xml:space="preserve"> </w:t>
      </w:r>
      <w:r>
        <w:t xml:space="preserve">“</w:t>
      </w:r>
      <w:r>
        <w:t xml:space="preserve">independent research and development funding relating to unidentified anomalous phenomena</w:t>
      </w:r>
      <w:r>
        <w:t xml:space="preserve"> </w:t>
      </w:r>
      <w:r>
        <w:t xml:space="preserve">shall not be allowable as indirect expenses for purposes of contracts covered by such instruction,</w:t>
      </w:r>
      <w:r>
        <w:t xml:space="preserve"> </w:t>
      </w:r>
      <w:r>
        <w:t xml:space="preserve">unless such material and information is made available [to] the appropriate congressional committees</w:t>
      </w:r>
      <w:r>
        <w:t xml:space="preserve"> </w:t>
      </w:r>
      <w:r>
        <w:t xml:space="preserve">and congressional leadership.</w:t>
      </w:r>
      <w:r>
        <w:t xml:space="preserve">”</w:t>
      </w:r>
      <w:r>
        <w:t xml:space="preserve"> </w:t>
      </w:r>
      <w:r>
        <w:t xml:space="preserve">Unlike subsection (a), subsection (b) is not limited to funds authorized</w:t>
      </w:r>
      <w:r>
        <w:t xml:space="preserve"> </w:t>
      </w:r>
      <w:r>
        <w:t xml:space="preserve">by the FY2024 Act. A contractor that charged UAP-related IRAD to government contracts as an indirect</w:t>
      </w:r>
      <w:r>
        <w:t xml:space="preserve"> </w:t>
      </w:r>
      <w:r>
        <w:t xml:space="preserve">cost without the required disclosure faces cost-disallowance and potential False Claims Act exposure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Issue D2</w:t>
        </w:r>
      </w:hyperlink>
      <w:r>
        <w:t xml:space="preserve">). The current U.S. Code carries subsections (b) and (c) of §1687,</w:t>
      </w:r>
      <w:r>
        <w:t xml:space="preserve"> </w:t>
      </w:r>
      <w:r>
        <w:t xml:space="preserve">but not subsection (a), as a statutory note under 50 U.S.C. §3373 headed</w:t>
      </w:r>
      <w:r>
        <w:t xml:space="preserve"> </w:t>
      </w:r>
      <w:r>
        <w:t xml:space="preserve">“</w:t>
      </w:r>
      <w:r>
        <w:t xml:space="preserve">Limitation Regarding Independent</w:t>
      </w:r>
      <w:r>
        <w:t xml:space="preserve"> </w:t>
      </w:r>
      <w:r>
        <w:t xml:space="preserve">Research and Development.</w:t>
      </w:r>
      <w:r>
        <w:t xml:space="preserve">”</w:t>
      </w:r>
      <w:r>
        <w:t xml:space="preserve"> </w:t>
      </w:r>
      <w:r>
        <w:t xml:space="preserve">The codifiers’ choice to print only (b) and (c) reflects the reading that subsection</w:t>
      </w:r>
      <w:r>
        <w:t xml:space="preserve"> </w:t>
      </w:r>
      <w:r>
        <w:t xml:space="preserve">(b) is permanent and subsection (a) was limited to FY2024 funds.</w:t>
      </w:r>
    </w:p>
    <w:p>
      <w:pPr>
        <w:pStyle w:val="BodyText"/>
      </w:pPr>
      <w:r>
        <w:rPr>
          <w:bCs/>
          <w:b/>
        </w:rPr>
        <w:t xml:space="preserve">The intelligence counterpart: FY2024 IAA §7343.</w:t>
      </w:r>
      <w:r>
        <w:t xml:space="preserve"> </w:t>
      </w:r>
      <w:r>
        <w:t xml:space="preserve">Division G of the same Act (the Intelligence Authorization</w:t>
      </w:r>
      <w:r>
        <w:t xml:space="preserve"> </w:t>
      </w:r>
      <w:r>
        <w:t xml:space="preserve">Act for Fiscal Year 2024) contains a parallel provision. Section 7343(b) bars obligation or expenditure of funds</w:t>
      </w:r>
      <w:r>
        <w:t xml:space="preserve"> </w:t>
      </w:r>
      <w:r>
        <w:t xml:space="preserve">authorized</w:t>
      </w:r>
      <w:r>
        <w:t xml:space="preserve"> </w:t>
      </w:r>
      <w:r>
        <w:t xml:space="preserve">“</w:t>
      </w:r>
      <w:r>
        <w:t xml:space="preserve">by this division</w:t>
      </w:r>
      <w:r>
        <w:t xml:space="preserve">”</w:t>
      </w:r>
      <w:r>
        <w:t xml:space="preserve"> </w:t>
      </w:r>
      <w:r>
        <w:t xml:space="preserve">for</w:t>
      </w:r>
      <w:r>
        <w:t xml:space="preserve"> </w:t>
      </w:r>
      <w:r>
        <w:t xml:space="preserve">“</w:t>
      </w:r>
      <w:r>
        <w:t xml:space="preserve">any activity involving unidentified anomalous phenomena protected under any</w:t>
      </w:r>
      <w:r>
        <w:t xml:space="preserve"> </w:t>
      </w:r>
      <w:r>
        <w:t xml:space="preserve">form of special access or restricted access limitation unless the Director of National Intelligence has</w:t>
      </w:r>
      <w:r>
        <w:t xml:space="preserve"> </w:t>
      </w:r>
      <w:r>
        <w:t xml:space="preserve">provided the details of the activity</w:t>
      </w:r>
      <w:r>
        <w:t xml:space="preserve">”</w:t>
      </w:r>
      <w:r>
        <w:t xml:space="preserve"> </w:t>
      </w:r>
      <w:r>
        <w:t xml:space="preserve">to the intelligence, armed services, and appropriations committees and</w:t>
      </w:r>
      <w:r>
        <w:t xml:space="preserve"> </w:t>
      </w:r>
      <w:r>
        <w:t xml:space="preserve">congressional leadership. Section 7343(c) repeats the IRAD limitation, but its phrase</w:t>
      </w:r>
      <w:r>
        <w:t xml:space="preserve"> </w:t>
      </w:r>
      <w:r>
        <w:t xml:space="preserve">“</w:t>
      </w:r>
      <w:r>
        <w:t xml:space="preserve">contracts covered by such</w:t>
      </w:r>
      <w:r>
        <w:t xml:space="preserve"> </w:t>
      </w:r>
      <w:r>
        <w:t xml:space="preserve">instruction</w:t>
      </w:r>
      <w:r>
        <w:t xml:space="preserve">”</w:t>
      </w:r>
      <w:r>
        <w:t xml:space="preserve"> </w:t>
      </w:r>
      <w:r>
        <w:t xml:space="preserve">has no antecedent in §7343, because the reference to DoD Instruction 3204.01 appears only in</w:t>
      </w:r>
      <w:r>
        <w:t xml:space="preserve"> </w:t>
      </w:r>
      <w:r>
        <w:t xml:space="preserve">§1687(b). Pub. L. 118-31, div. G, §7343, 137 Stat. 1063-64 (Dec. 22, 2023). For an</w:t>
      </w:r>
      <w:r>
        <w:t xml:space="preserve"> </w:t>
      </w:r>
      <w:r>
        <w:t xml:space="preserve">intelligence-funded UAP program, §7343(b) is the provision to cite, and the DNI (not the Secretary of Defense)</w:t>
      </w:r>
      <w:r>
        <w:t xml:space="preserve"> </w:t>
      </w:r>
      <w:r>
        <w:t xml:space="preserve">is the official whose notice was required.</w:t>
      </w:r>
    </w:p>
    <w:bookmarkEnd w:id="29"/>
    <w:bookmarkStart w:id="30" w:name="Xb8b36f2968e16547b41d604e9306247814e209b"/>
    <w:p>
      <w:pPr>
        <w:pStyle w:val="Heading3"/>
      </w:pPr>
      <w:r>
        <w:t xml:space="preserve">2.5 FY2025 NDAA: Pub. L. 118-159, Div. F, Title LXVIII</w:t>
      </w:r>
    </w:p>
    <w:p>
      <w:pPr>
        <w:pStyle w:val="FirstParagraph"/>
      </w:pPr>
      <w:r>
        <w:t xml:space="preserve">Section 6801 directs a GAO review of AARO’s implementation of §3373, including coordination with</w:t>
      </w:r>
      <w:r>
        <w:t xml:space="preserve"> </w:t>
      </w:r>
      <w:r>
        <w:t xml:space="preserve">non-government entities. Section 6802 sunsets the historical-record audit requirements as noted above.</w:t>
      </w:r>
    </w:p>
    <w:bookmarkEnd w:id="30"/>
    <w:bookmarkStart w:id="31" w:name="Xbe521b99d5cdd042ab770fd722243c37ff2d5c0"/>
    <w:p>
      <w:pPr>
        <w:pStyle w:val="Heading3"/>
      </w:pPr>
      <w:r>
        <w:t xml:space="preserve">2.6 Timeline of enacted and pending UAP legislation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UAP provisions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Dec. 27, 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FY2022 NDAA, Pub. L. 117-81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§1683: establishes the office later renamed AARO (50 U.S.C. §3373)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Dec. 27, 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IAA FY2022 (same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§413: UAP reporting (50 U.S.C. §3373a; repealed by FY2026 NDAA §1672(a))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Dec. 23,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FY2023 NDAA, Pub. L. 117-263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§6802: rewrites §3373; §1673: authorized disclosure channel and protections (50 U.S.C. §3373b)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Dec. 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FY2024 NDAA, Pub. L. 118-31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§1687: FY2024 funding limit and IRAD rule; §§1841-1843: UAP Records Collection; §7341: AARO amendments; IAA §7343: intelligence funding limit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Dec. 23,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FY2025 NDAA, Pub. L. 118-159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§6801: GAO review of AARO; §6802: sunset of historical-record audits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Dec. 18,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FY2026 NDAA, Pub. L. 119-60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§1671: intercept briefings (§3373(l)(5)); §1672: data access, repeal of §3373a; §1673: classification guides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June 24,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 6344 to S. 4784 (Schumer-Rounds)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UAP Disclosure Act of 2026 filed; not adopted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July 22,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H.R. 8800, FY2027 NDAA (passed House)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§§1761-1773: Review Board, eminent domain, precedence clause, APA review</w:t>
            </w:r>
          </w:p>
        </w:tc>
      </w:tr>
    </w:tbl>
    <w:bookmarkEnd w:id="31"/>
    <w:bookmarkStart w:id="32" w:name="how-the-main-versions-compare"/>
    <w:p>
      <w:pPr>
        <w:pStyle w:val="Heading3"/>
      </w:pPr>
      <w:r>
        <w:t xml:space="preserve">2.7 How the main versions compare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Feature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Enacted (FY2024 §§1841-1843)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H.R. 8800 (House, 2026)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 6344 (Senate amendment, 2026)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Collection at NARA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(replaces enacted subtitle, §1772)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Clear-and-convincing postponement standard; 25-year rule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(§§1842(g), 1843)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Carried forward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Carried forward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Review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Yes, with subpoenas and immunity eligibility (§1764)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(§__07)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Eminent domain over recovered technology and biological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(§1767)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(§__10(a))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Findings and purposes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(§__02)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Express APA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(§1769(c))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(judicial review subsection)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Severability clause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(§__16)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Coverage of the Executive Office of the President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stated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(§1773(23)(A))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(§__03)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2"/>
    <w:bookmarkEnd w:id="33"/>
    <w:bookmarkStart w:id="35" w:name="X9dccf818b2a50b66afce7c4b0daf01fedeb3cd3"/>
    <w:p>
      <w:pPr>
        <w:pStyle w:val="Heading2"/>
      </w:pPr>
      <w:r>
        <w:t xml:space="preserve">3. Pending: the House-passed UAP Disclosure Act (H.R. 8800, FY2027 NDAA)</w:t>
      </w:r>
    </w:p>
    <w:p>
      <w:pPr>
        <w:pStyle w:val="FirstParagraph"/>
      </w:pPr>
      <w:r>
        <w:t xml:space="preserve">The House passed H.R. 8800 on July 22, 2026 (216-212), with the Burlison amendment as Division A, Title</w:t>
      </w:r>
      <w:r>
        <w:t xml:space="preserve"> </w:t>
      </w:r>
      <w:r>
        <w:t xml:space="preserve">XVII, Subtitle D, §§1761-1773. The Senate bill, S. 4784, was reported June 15, 2026 (S. Rept. 119-127);</w:t>
      </w:r>
      <w:r>
        <w:t xml:space="preserve"> </w:t>
      </w:r>
      <w:r>
        <w:t xml:space="preserve">cloture on the motion to proceed failed on July 14, 2026, and no further action had been reported as of</w:t>
      </w:r>
      <w:r>
        <w:t xml:space="preserve"> </w:t>
      </w:r>
      <w:r>
        <w:t xml:space="preserve">October 2026.</w:t>
      </w:r>
    </w:p>
    <w:p>
      <w:pPr>
        <w:pStyle w:val="BodyText"/>
      </w:pPr>
      <w:r>
        <w:rPr>
          <w:bCs/>
          <w:b/>
        </w:rPr>
        <w:t xml:space="preserve">The Senate text.</w:t>
      </w:r>
      <w:r>
        <w:t xml:space="preserve"> </w:t>
      </w:r>
      <w:r>
        <w:t xml:space="preserve">On June 24, 2026, Senators Schumer and Rounds filed SA 6344 to S. 4784, which would add a</w:t>
      </w:r>
      <w:r>
        <w:t xml:space="preserve"> </w:t>
      </w:r>
      <w:r>
        <w:t xml:space="preserve">division titled the</w:t>
      </w:r>
      <w:r>
        <w:t xml:space="preserve"> </w:t>
      </w:r>
      <w:r>
        <w:t xml:space="preserve">“</w:t>
      </w:r>
      <w:r>
        <w:t xml:space="preserve">UAP Disclosure Act of 2026.</w:t>
      </w:r>
      <w:r>
        <w:t xml:space="preserve">”</w:t>
      </w:r>
      <w:r>
        <w:t xml:space="preserve"> </w:t>
      </w:r>
      <w:r>
        <w:t xml:space="preserve">172 Cong. Rec. S3466-73 (daily ed. June 24, 2026). It was ordered to lie on the table, and with</w:t>
      </w:r>
      <w:r>
        <w:t xml:space="preserve"> </w:t>
      </w:r>
      <w:r>
        <w:t xml:space="preserve">cloture on S. 4784 having failed, it has not been adopted. It tracks H.R. 8800 in most respects (Review Board,</w:t>
      </w:r>
      <w:r>
        <w:t xml:space="preserve"> </w:t>
      </w:r>
      <w:r>
        <w:t xml:space="preserve">eminent domain over recovered technologies (§__10(a)), coverage of</w:t>
      </w:r>
      <w:r>
        <w:t xml:space="preserve"> </w:t>
      </w:r>
      <w:r>
        <w:t xml:space="preserve">“</w:t>
      </w:r>
      <w:r>
        <w:t xml:space="preserve">the Executive Office of the President</w:t>
      </w:r>
      <w:r>
        <w:t xml:space="preserve">”</w:t>
      </w:r>
      <w:r>
        <w:t xml:space="preserve"> </w:t>
      </w:r>
      <w:r>
        <w:t xml:space="preserve">(§__03)), with three differences that matter for litigation:</w:t>
      </w:r>
    </w:p>
    <w:p>
      <w:pPr>
        <w:pStyle w:val="Compact"/>
        <w:numPr>
          <w:ilvl w:val="0"/>
          <w:numId w:val="1004"/>
        </w:numPr>
      </w:pPr>
      <w:r>
        <w:t xml:space="preserve">it restores the findings, declarations, and purposes section of the 2023 bill (§__02), including findings that</w:t>
      </w:r>
      <w:r>
        <w:t xml:space="preserve"> </w:t>
      </w:r>
      <w:r>
        <w:t xml:space="preserve">FOIA</w:t>
      </w:r>
      <w:r>
        <w:t xml:space="preserve"> </w:t>
      </w:r>
      <w:r>
        <w:t xml:space="preserve">“</w:t>
      </w:r>
      <w:r>
        <w:t xml:space="preserve">has proven inadequate</w:t>
      </w:r>
      <w:r>
        <w:t xml:space="preserve">”</w:t>
      </w:r>
      <w:r>
        <w:t xml:space="preserve"> </w:t>
      </w:r>
      <w:r>
        <w:t xml:space="preserve">for UAP records and that legislation is needed</w:t>
      </w:r>
      <w:r>
        <w:t xml:space="preserve"> </w:t>
      </w:r>
      <w:r>
        <w:t xml:space="preserve">“</w:t>
      </w:r>
      <w:r>
        <w:t xml:space="preserve">to restore proper oversight</w:t>
      </w:r>
      <w:r>
        <w:t xml:space="preserve">”</w:t>
      </w:r>
      <w:r>
        <w:t xml:space="preserve">;</w:t>
      </w:r>
      <w:r>
        <w:t xml:space="preserve"> </w:t>
      </w:r>
      <w:r>
        <w:t xml:space="preserve">those findings answer the OLC’s legislative-purpose objection discussed in §4;</w:t>
      </w:r>
    </w:p>
    <w:p>
      <w:pPr>
        <w:pStyle w:val="Compact"/>
        <w:numPr>
          <w:ilvl w:val="0"/>
          <w:numId w:val="1004"/>
        </w:numPr>
      </w:pPr>
      <w:r>
        <w:t xml:space="preserve">it has a severability clause (§__16), so a court applying</w:t>
      </w:r>
      <w:r>
        <w:t xml:space="preserve"> </w:t>
      </w:r>
      <w:r>
        <w:rPr>
          <w:iCs/>
          <w:i/>
        </w:rPr>
        <w:t xml:space="preserve">Trump v. Slaughter</w:t>
      </w:r>
      <w:r>
        <w:t xml:space="preserve"> </w:t>
      </w:r>
      <w:r>
        <w:t xml:space="preserve">could strike the Board’s</w:t>
      </w:r>
      <w:r>
        <w:t xml:space="preserve"> </w:t>
      </w:r>
      <w:r>
        <w:t xml:space="preserve">for-cause removal protection (§__07) and keep the rest; and</w:t>
      </w:r>
    </w:p>
    <w:p>
      <w:pPr>
        <w:pStyle w:val="Compact"/>
        <w:numPr>
          <w:ilvl w:val="0"/>
          <w:numId w:val="1004"/>
        </w:numPr>
      </w:pPr>
      <w:r>
        <w:t xml:space="preserve">its authorization of appropriations still reads</w:t>
      </w:r>
      <w:r>
        <w:t xml:space="preserve"> </w:t>
      </w:r>
      <w:r>
        <w:t xml:space="preserve">“</w:t>
      </w:r>
      <w:r>
        <w:t xml:space="preserve">$20,000,000 for fiscal year 2025</w:t>
      </w:r>
      <w:r>
        <w:t xml:space="preserve">”</w:t>
      </w:r>
      <w:r>
        <w:t xml:space="preserve"> </w:t>
      </w:r>
      <w:r>
        <w:t xml:space="preserve">(§__14), a carry-over that</w:t>
      </w:r>
      <w:r>
        <w:t xml:space="preserve"> </w:t>
      </w:r>
      <w:r>
        <w:t xml:space="preserve">conferees would need to correct.</w:t>
      </w:r>
    </w:p>
    <w:p>
      <w:pPr>
        <w:pStyle w:val="FirstParagraph"/>
      </w:pPr>
      <w:r>
        <w:t xml:space="preserve">Advocates should press conferees to take the Senate’s findings and severability clause into whatever text</w:t>
      </w:r>
      <w:r>
        <w:t xml:space="preserve"> </w:t>
      </w:r>
      <w:r>
        <w:t xml:space="preserve">emerges.</w:t>
      </w:r>
    </w:p>
    <w:p>
      <w:pPr>
        <w:pStyle w:val="BodyText"/>
      </w:pPr>
      <w:r>
        <w:t xml:space="preserve">The provisions with the greatest practical effect are these: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Review Board (§1764).</w:t>
      </w:r>
      <w:r>
        <w:t xml:space="preserve"> </w:t>
      </w:r>
      <w:r>
        <w:t xml:space="preserve">An independent agency of nine members appointed by the President with the</w:t>
      </w:r>
      <w:r>
        <w:t xml:space="preserve"> </w:t>
      </w:r>
      <w:r>
        <w:t xml:space="preserve">advice and consent of the Senate, nominated after considering recommendations from congressional</w:t>
      </w:r>
      <w:r>
        <w:t xml:space="preserve"> </w:t>
      </w:r>
      <w:r>
        <w:t xml:space="preserve">leaders, the Secretary of Defense, the National Academy of Sciences,</w:t>
      </w:r>
      <w:r>
        <w:t xml:space="preserve"> </w:t>
      </w:r>
      <w:r>
        <w:t xml:space="preserve">“</w:t>
      </w:r>
      <w:r>
        <w:t xml:space="preserve">[e]stablished nonprofit research</w:t>
      </w:r>
      <w:r>
        <w:t xml:space="preserve"> </w:t>
      </w:r>
      <w:r>
        <w:t xml:space="preserve">organizations relating to unidentified anomalous phenomena,</w:t>
      </w:r>
      <w:r>
        <w:t xml:space="preserve">”</w:t>
      </w:r>
      <w:r>
        <w:t xml:space="preserve"> </w:t>
      </w:r>
      <w:r>
        <w:t xml:space="preserve">and the American Historical Association.</w:t>
      </w:r>
      <w:r>
        <w:t xml:space="preserve"> </w:t>
      </w:r>
      <w:r>
        <w:t xml:space="preserve">Members may have had no involvement with any</w:t>
      </w:r>
      <w:r>
        <w:t xml:space="preserve"> </w:t>
      </w:r>
      <w:r>
        <w:t xml:space="preserve">“</w:t>
      </w:r>
      <w:r>
        <w:t xml:space="preserve">legacy program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controlling authority.</w:t>
      </w:r>
      <w:r>
        <w:t xml:space="preserve">”</w:t>
      </w:r>
      <w:r>
        <w:t xml:space="preserve"> </w:t>
      </w:r>
      <w:r>
        <w:t xml:space="preserve">The Board</w:t>
      </w:r>
      <w:r>
        <w:t xml:space="preserve"> </w:t>
      </w:r>
      <w:r>
        <w:t xml:space="preserve">may hold hearings, administer oaths, and issue subpoenas enforceable in federal court, and it is an</w:t>
      </w:r>
      <w:r>
        <w:t xml:space="preserve"> </w:t>
      </w:r>
      <w:r>
        <w:t xml:space="preserve">agency for purposes of the federal witness immunity statute, 18 U.S.C. §6001, which allows</w:t>
      </w:r>
      <w:r>
        <w:t xml:space="preserve"> </w:t>
      </w:r>
      <w:r>
        <w:t xml:space="preserve">immunity orders for its witnesses. Witnesses, close observers, and whistleblowers giving information</w:t>
      </w:r>
      <w:r>
        <w:t xml:space="preserve"> </w:t>
      </w:r>
      <w:r>
        <w:t xml:space="preserve">to the Board receive the §3373b(b) protections. §1764(i).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Removal protection after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Slaughter</w:t>
      </w:r>
      <w:r>
        <w:rPr>
          <w:bCs/>
          <w:b/>
        </w:rPr>
        <w:t xml:space="preserve">.</w:t>
      </w:r>
      <w:r>
        <w:t xml:space="preserve"> </w:t>
      </w:r>
      <w:r>
        <w:t xml:space="preserve">H.R. 8800 lets the President remove a Board member only</w:t>
      </w:r>
      <w:r>
        <w:t xml:space="preserve"> </w:t>
      </w:r>
      <w:r>
        <w:t xml:space="preserve">“</w:t>
      </w:r>
      <w:r>
        <w:t xml:space="preserve">for</w:t>
      </w:r>
      <w:r>
        <w:t xml:space="preserve"> </w:t>
      </w:r>
      <w:r>
        <w:t xml:space="preserve">inefficiency, neglect of duty, malfeasance in office,</w:t>
      </w:r>
      <w:r>
        <w:t xml:space="preserve">”</w:t>
      </w:r>
      <w:r>
        <w:t xml:space="preserve"> </w:t>
      </w:r>
      <w:r>
        <w:t xml:space="preserve">or incapacity, with judicial review and possible</w:t>
      </w:r>
      <w:r>
        <w:t xml:space="preserve"> </w:t>
      </w:r>
      <w:r>
        <w:t xml:space="preserve">reinstatement (§1764(e)), and protects the Executive Director the same way (§1765(a)(6)). On June 29, 2026 the</w:t>
      </w:r>
      <w:r>
        <w:t xml:space="preserve"> </w:t>
      </w:r>
      <w:r>
        <w:t xml:space="preserve">Supreme Court held the FTC’s for-cause removal provision unconstitutional and stated:</w:t>
      </w:r>
      <w:r>
        <w:t xml:space="preserve"> </w:t>
      </w:r>
      <w:r>
        <w:t xml:space="preserve">“</w:t>
      </w:r>
      <w:r>
        <w:t xml:space="preserve">If anything more is</w:t>
      </w:r>
      <w:r>
        <w:t xml:space="preserve"> </w:t>
      </w:r>
      <w:r>
        <w:t xml:space="preserve">left of Humphrey’s, we overrule it.</w:t>
      </w:r>
      <w:r>
        <w:t xml:space="preserve">”</w:t>
      </w:r>
      <w:r>
        <w:t xml:space="preserve"> </w:t>
      </w:r>
      <w:r>
        <w:rPr>
          <w:iCs/>
          <w:i/>
        </w:rPr>
        <w:t xml:space="preserve">Trump v. Slaughter</w:t>
      </w:r>
      <w:r>
        <w:t xml:space="preserve">, No. 25-332, 609 U.S. ___, slip op. at 20-21 (June 29, 2026). The Board would decide whether executive</w:t>
      </w:r>
      <w:r>
        <w:t xml:space="preserve"> </w:t>
      </w:r>
      <w:r>
        <w:t xml:space="preserve">agencies may withhold their own records, issue subpoenas, and direct the disposition of recovered material,</w:t>
      </w:r>
      <w:r>
        <w:t xml:space="preserve"> </w:t>
      </w:r>
      <w:r>
        <w:t xml:space="preserve">which are executive functions. A court applying</w:t>
      </w:r>
      <w:r>
        <w:t xml:space="preserve"> </w:t>
      </w:r>
      <w:r>
        <w:rPr>
          <w:iCs/>
          <w:i/>
        </w:rPr>
        <w:t xml:space="preserve">Slaughter</w:t>
      </w:r>
      <w:r>
        <w:t xml:space="preserve"> </w:t>
      </w:r>
      <w:r>
        <w:t xml:space="preserve">would likely hold the removal limits invalid and</w:t>
      </w:r>
      <w:r>
        <w:t xml:space="preserve"> </w:t>
      </w:r>
      <w:r>
        <w:t xml:space="preserve">sever them, leaving a Board whose members serve at the President’s pleasure. The Court noted that Congress</w:t>
      </w:r>
      <w:r>
        <w:t xml:space="preserve"> </w:t>
      </w:r>
      <w:r>
        <w:t xml:space="preserve">may still</w:t>
      </w:r>
      <w:r>
        <w:t xml:space="preserve"> </w:t>
      </w:r>
      <w:r>
        <w:t xml:space="preserve">“</w:t>
      </w:r>
      <w:r>
        <w:t xml:space="preserve">establish independent agencies to assist it with its functions</w:t>
      </w:r>
      <w:r>
        <w:t xml:space="preserve">”</w:t>
      </w:r>
      <w:r>
        <w:t xml:space="preserve"> </w:t>
      </w:r>
      <w:r>
        <w:t xml:space="preserve">(</w:t>
      </w:r>
      <w:r>
        <w:rPr>
          <w:iCs/>
          <w:i/>
        </w:rPr>
        <w:t xml:space="preserve">id.</w:t>
      </w:r>
      <w:r>
        <w:t xml:space="preserve">), so a Board designed as a</w:t>
      </w:r>
      <w:r>
        <w:t xml:space="preserve"> </w:t>
      </w:r>
      <w:r>
        <w:t xml:space="preserve">legislative-branch body advising Congress, without power to bind executive agencies, could keep its</w:t>
      </w:r>
      <w:r>
        <w:t xml:space="preserve"> </w:t>
      </w:r>
      <w:r>
        <w:t xml:space="preserve">independence. Advocates should raise the choice in conference: independence with advisory powers, or binding</w:t>
      </w:r>
      <w:r>
        <w:t xml:space="preserve"> </w:t>
      </w:r>
      <w:r>
        <w:t xml:space="preserve">powers with presidential control.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Eminent domain (§1767(a)).</w:t>
      </w:r>
      <w:r>
        <w:t xml:space="preserve"> </w:t>
      </w:r>
      <w:r>
        <w:t xml:space="preserve">“</w:t>
      </w:r>
      <w:r>
        <w:t xml:space="preserve">The Federal Government shall exercise eminent domain over any and all</w:t>
      </w:r>
      <w:r>
        <w:t xml:space="preserve"> </w:t>
      </w:r>
      <w:r>
        <w:t xml:space="preserve">recovered technologies of unknown origin and biological evidence of non-human intelligence that may</w:t>
      </w:r>
      <w:r>
        <w:t xml:space="preserve"> </w:t>
      </w:r>
      <w:r>
        <w:t xml:space="preserve">be controlled by private persons or entities in the interests of the public good.</w:t>
      </w:r>
      <w:r>
        <w:t xml:space="preserve">”</w:t>
      </w:r>
      <w:r>
        <w:t xml:space="preserve"> </w:t>
      </w:r>
      <w:r>
        <w:t xml:space="preserve">Material must be</w:t>
      </w:r>
      <w:r>
        <w:t xml:space="preserve"> </w:t>
      </w:r>
      <w:r>
        <w:t xml:space="preserve">made available to the Board, which decides whether it constitutes such technology or evidence</w:t>
      </w:r>
      <w:r>
        <w:t xml:space="preserve"> </w:t>
      </w:r>
      <w:r>
        <w:t xml:space="preserve">“</w:t>
      </w:r>
      <w:r>
        <w:t xml:space="preserve">beyond</w:t>
      </w:r>
      <w:r>
        <w:t xml:space="preserve"> </w:t>
      </w:r>
      <w:r>
        <w:t xml:space="preserve">a reasonable doubt,</w:t>
      </w:r>
      <w:r>
        <w:t xml:space="preserve">”</w:t>
      </w:r>
      <w:r>
        <w:t xml:space="preserve"> </w:t>
      </w:r>
      <w:r>
        <w:t xml:space="preserve">whether it qualifies for postponement, and what change in its disposition is</w:t>
      </w:r>
      <w:r>
        <w:t xml:space="preserve"> </w:t>
      </w:r>
      <w:r>
        <w:t xml:space="preserve">needed. §1767(b)-(c). The provision directs a taking but supplies no procedure, no condemning</w:t>
      </w:r>
      <w:r>
        <w:t xml:space="preserve"> </w:t>
      </w:r>
      <w:r>
        <w:t xml:space="preserve">authority, and no compensation mechanism; the Fifth Amendment and the general condemnation statutes</w:t>
      </w:r>
      <w:r>
        <w:t xml:space="preserve"> </w:t>
      </w:r>
      <w:r>
        <w:t xml:space="preserve">(40 U.S.C. §§3113-3118) would fill the gap, and compensation claims would lie in the Court of Federal</w:t>
      </w:r>
      <w:r>
        <w:t xml:space="preserve"> </w:t>
      </w:r>
      <w:r>
        <w:t xml:space="preserve">Claims under the Tucker Act.</w:t>
      </w:r>
      <w:r>
        <w:t xml:space="preserve"> </w:t>
      </w:r>
      <w:hyperlink r:id="rId34">
        <w:r>
          <w:rPr>
            <w:rStyle w:val="Hyperlink"/>
          </w:rPr>
          <w:t xml:space="preserve">Issue E1</w:t>
        </w:r>
      </w:hyperlink>
      <w:r>
        <w:t xml:space="preserve"> </w:t>
      </w:r>
      <w:r>
        <w:t xml:space="preserve">develops the takings analysis.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Precedence clause (§1769(a)).</w:t>
      </w:r>
      <w:r>
        <w:t xml:space="preserve"> </w:t>
      </w:r>
      <w:r>
        <w:t xml:space="preserve">Where the subtitle requires transmission or disclosure, it</w:t>
      </w:r>
      <w:r>
        <w:t xml:space="preserve"> </w:t>
      </w:r>
      <w:r>
        <w:t xml:space="preserve">“</w:t>
      </w:r>
      <w:r>
        <w:t xml:space="preserve">shall</w:t>
      </w:r>
      <w:r>
        <w:t xml:space="preserve"> </w:t>
      </w:r>
      <w:r>
        <w:t xml:space="preserve">take precedence over any other provision of law (except [26 U.S.C. §6103]), judicial decision</w:t>
      </w:r>
      <w:r>
        <w:t xml:space="preserve"> </w:t>
      </w:r>
      <w:r>
        <w:t xml:space="preserve">construing such provision of law, or common law doctrine that would otherwise prohibit such</w:t>
      </w:r>
      <w:r>
        <w:t xml:space="preserve"> </w:t>
      </w:r>
      <w:r>
        <w:t xml:space="preserve">transmission or disclosure.</w:t>
      </w:r>
      <w:r>
        <w:t xml:space="preserve">”</w:t>
      </w:r>
      <w:r>
        <w:t xml:space="preserve"> </w:t>
      </w:r>
      <w:r>
        <w:t xml:space="preserve">The state secrets privilege is a common law evidentiary privilege. The</w:t>
      </w:r>
      <w:r>
        <w:t xml:space="preserve"> </w:t>
      </w:r>
      <w:r>
        <w:t xml:space="preserve">clause would therefore support an argument that the privilege cannot block disclosure the Act</w:t>
      </w:r>
      <w:r>
        <w:t xml:space="preserve"> </w:t>
      </w:r>
      <w:r>
        <w:t xml:space="preserve">requires, at least where the Board orders release. The government would answer that the privilege has</w:t>
      </w:r>
      <w:r>
        <w:t xml:space="preserve"> </w:t>
      </w:r>
      <w:r>
        <w:t xml:space="preserve">constitutional roots in Article II and cannot be displaced by statute. Each side has authority. The Fourth Circuit</w:t>
      </w:r>
      <w:r>
        <w:t xml:space="preserve"> </w:t>
      </w:r>
      <w:r>
        <w:t xml:space="preserve">has said the privilege</w:t>
      </w:r>
      <w:r>
        <w:t xml:space="preserve"> </w:t>
      </w:r>
      <w:r>
        <w:t xml:space="preserve">“</w:t>
      </w:r>
      <w:r>
        <w:t xml:space="preserve">performs a function of constitutional significance</w:t>
      </w:r>
      <w:r>
        <w:t xml:space="preserve">”</w:t>
      </w:r>
      <w:r>
        <w:t xml:space="preserve"> </w:t>
      </w:r>
      <w:r>
        <w:t xml:space="preserve">(</w:t>
      </w:r>
      <w:r>
        <w:rPr>
          <w:iCs/>
          <w:i/>
        </w:rPr>
        <w:t xml:space="preserve">El-Masri v. United States</w:t>
      </w:r>
      <w:r>
        <w:t xml:space="preserve">, 479 F.3d</w:t>
      </w:r>
      <w:r>
        <w:t xml:space="preserve"> </w:t>
      </w:r>
      <w:r>
        <w:t xml:space="preserve">296, 303 (4th Cir. 2007)), and the Supreme Court in</w:t>
      </w:r>
      <w:r>
        <w:t xml:space="preserve"> </w:t>
      </w:r>
      <w:r>
        <w:rPr>
          <w:iCs/>
          <w:i/>
        </w:rPr>
        <w:t xml:space="preserve">Reynolds</w:t>
      </w:r>
      <w:r>
        <w:t xml:space="preserve"> </w:t>
      </w:r>
      <w:r>
        <w:t xml:space="preserve">treated it as a rule of evidence that it applied</w:t>
      </w:r>
      <w:r>
        <w:t xml:space="preserve"> </w:t>
      </w:r>
      <w:r>
        <w:t xml:space="preserve">without deciding its constitutional basis (345 U.S. at 6-7). Congress has also displaced executive control of</w:t>
      </w:r>
      <w:r>
        <w:t xml:space="preserve"> </w:t>
      </w:r>
      <w:r>
        <w:t xml:space="preserve">national security information before (FISA’s in camera procedure, 50 U.S.C. §1806(f), which</w:t>
      </w:r>
      <w:r>
        <w:t xml:space="preserve"> </w:t>
      </w:r>
      <w:r>
        <w:rPr>
          <w:iCs/>
          <w:i/>
        </w:rPr>
        <w:t xml:space="preserve">Fazaga</w:t>
      </w:r>
      <w:r>
        <w:t xml:space="preserve"> </w:t>
      </w:r>
      <w:r>
        <w:t xml:space="preserve">read as</w:t>
      </w:r>
      <w:r>
        <w:t xml:space="preserve"> </w:t>
      </w:r>
      <w:r>
        <w:t xml:space="preserve">coexisting with the privilege rather than as unconstitutional). Courts have not resolved the question.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Judicial review (§1769(c)).</w:t>
      </w:r>
      <w:r>
        <w:t xml:space="preserve"> </w:t>
      </w:r>
      <w:r>
        <w:t xml:space="preserve">Nothing in the subtitle precludes APA review</w:t>
      </w:r>
      <w:r>
        <w:t xml:space="preserve"> </w:t>
      </w:r>
      <w:r>
        <w:t xml:space="preserve">“</w:t>
      </w:r>
      <w:r>
        <w:t xml:space="preserve">of final actions taken or</w:t>
      </w:r>
      <w:r>
        <w:t xml:space="preserve"> </w:t>
      </w:r>
      <w:r>
        <w:t xml:space="preserve">required to be taken.</w:t>
      </w:r>
      <w:r>
        <w:t xml:space="preserve">”</w:t>
      </w:r>
      <w:r>
        <w:t xml:space="preserve"> </w:t>
      </w:r>
      <w:r>
        <w:t xml:space="preserve">This is broader than the JFK Act and would strengthen suits to compel agency</w:t>
      </w:r>
      <w:r>
        <w:t xml:space="preserve"> </w:t>
      </w:r>
      <w:r>
        <w:t xml:space="preserve">compliance.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Contractors and private holders.</w:t>
      </w:r>
      <w:r>
        <w:t xml:space="preserve"> </w:t>
      </w:r>
      <w:r>
        <w:t xml:space="preserve">“</w:t>
      </w:r>
      <w:r>
        <w:t xml:space="preserve">Controlling authority</w:t>
      </w:r>
      <w:r>
        <w:t xml:space="preserve">”</w:t>
      </w:r>
      <w:r>
        <w:t xml:space="preserve"> </w:t>
      </w:r>
      <w:r>
        <w:t xml:space="preserve">includes any</w:t>
      </w:r>
      <w:r>
        <w:t xml:space="preserve"> </w:t>
      </w:r>
      <w:r>
        <w:t xml:space="preserve">“</w:t>
      </w:r>
      <w:r>
        <w:t xml:space="preserve">commercial company,</w:t>
      </w:r>
      <w:r>
        <w:t xml:space="preserve"> </w:t>
      </w:r>
      <w:r>
        <w:t xml:space="preserve">academic institution, or private sector entity in physical possession of technologies of unknown</w:t>
      </w:r>
      <w:r>
        <w:t xml:space="preserve"> </w:t>
      </w:r>
      <w:r>
        <w:t xml:space="preserve">origin or biological evidence of non-human intelligence.</w:t>
      </w:r>
      <w:r>
        <w:t xml:space="preserve">”</w:t>
      </w:r>
      <w:r>
        <w:t xml:space="preserve"> </w:t>
      </w:r>
      <w:r>
        <w:t xml:space="preserve">§1773(5).</w:t>
      </w:r>
      <w:r>
        <w:t xml:space="preserve"> </w:t>
      </w:r>
      <w:r>
        <w:t xml:space="preserve">“</w:t>
      </w:r>
      <w:r>
        <w:t xml:space="preserve">Legacy program</w:t>
      </w:r>
      <w:r>
        <w:t xml:space="preserve">”</w:t>
      </w:r>
      <w:r>
        <w:t xml:space="preserve"> </w:t>
      </w:r>
      <w:r>
        <w:t xml:space="preserve">covers federal,</w:t>
      </w:r>
      <w:r>
        <w:t xml:space="preserve"> </w:t>
      </w:r>
      <w:r>
        <w:t xml:space="preserve">state, local, commercial, academic, and private efforts to collect, exploit, or reverse engineer such</w:t>
      </w:r>
      <w:r>
        <w:t xml:space="preserve"> </w:t>
      </w:r>
      <w:r>
        <w:t xml:space="preserve">technology or to examine biological evidence of</w:t>
      </w:r>
      <w:r>
        <w:t xml:space="preserve"> </w:t>
      </w:r>
      <w:r>
        <w:t xml:space="preserve">“</w:t>
      </w:r>
      <w:r>
        <w:t xml:space="preserve">living or deceased</w:t>
      </w:r>
      <w:r>
        <w:t xml:space="preserve">”</w:t>
      </w:r>
      <w:r>
        <w:t xml:space="preserve"> </w:t>
      </w:r>
      <w:r>
        <w:t xml:space="preserve">NHI. §1773(11).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Definitions.</w:t>
      </w:r>
      <w:r>
        <w:t xml:space="preserve"> </w:t>
      </w:r>
      <w:r>
        <w:t xml:space="preserve">“</w:t>
      </w:r>
      <w:r>
        <w:t xml:space="preserve">Non-human intelligence</w:t>
      </w:r>
      <w:r>
        <w:t xml:space="preserve">”</w:t>
      </w:r>
      <w:r>
        <w:t xml:space="preserve"> </w:t>
      </w:r>
      <w:r>
        <w:t xml:space="preserve">means</w:t>
      </w:r>
      <w:r>
        <w:t xml:space="preserve"> </w:t>
      </w:r>
      <w:r>
        <w:t xml:space="preserve">“</w:t>
      </w:r>
      <w:r>
        <w:t xml:space="preserve">any sentient intelligent non-human lifeform</w:t>
      </w:r>
      <w:r>
        <w:t xml:space="preserve"> </w:t>
      </w:r>
      <w:r>
        <w:t xml:space="preserve">regardless of nature or ultimate origin that may be presumed responsible for unidentified anomalous</w:t>
      </w:r>
      <w:r>
        <w:t xml:space="preserve"> </w:t>
      </w:r>
      <w:r>
        <w:t xml:space="preserve">phenomena or of which the Federal Government has become aware.</w:t>
      </w:r>
      <w:r>
        <w:t xml:space="preserve">”</w:t>
      </w:r>
      <w:r>
        <w:t xml:space="preserve"> </w:t>
      </w:r>
      <w:r>
        <w:t xml:space="preserve">§1773(13).</w:t>
      </w:r>
      <w:r>
        <w:t xml:space="preserve"> </w:t>
      </w:r>
      <w:r>
        <w:t xml:space="preserve">“</w:t>
      </w:r>
      <w:r>
        <w:t xml:space="preserve">Technologies of unknown</w:t>
      </w:r>
      <w:r>
        <w:t xml:space="preserve"> </w:t>
      </w:r>
      <w:r>
        <w:t xml:space="preserve">origin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prosaic attribution</w:t>
      </w:r>
      <w:r>
        <w:t xml:space="preserve">”</w:t>
      </w:r>
      <w:r>
        <w:t xml:space="preserve"> </w:t>
      </w:r>
      <w:r>
        <w:t xml:space="preserve">are defined in §1773(15), (19).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Transition (§1772).</w:t>
      </w:r>
      <w:r>
        <w:t xml:space="preserve"> </w:t>
      </w:r>
      <w:r>
        <w:t xml:space="preserve">Repeals FY2024 Subtitle C and transfers its records, deadlines, and pending</w:t>
      </w:r>
      <w:r>
        <w:t xml:space="preserve"> </w:t>
      </w:r>
      <w:r>
        <w:t xml:space="preserve">actions into the new Collection; records already public stay public.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Drafting defect.</w:t>
      </w:r>
      <w:r>
        <w:t xml:space="preserve"> </w:t>
      </w:r>
      <w:r>
        <w:t xml:space="preserve">The engrossed text renumbered the sections to §§1761-1773 but left many internal</w:t>
      </w:r>
      <w:r>
        <w:t xml:space="preserve"> </w:t>
      </w:r>
      <w:r>
        <w:t xml:space="preserve">cross-references pointing to the old numbers (§§1741, 1743, 1744, 1746). For example, the definition</w:t>
      </w:r>
      <w:r>
        <w:t xml:space="preserve"> </w:t>
      </w:r>
      <w:r>
        <w:t xml:space="preserve">of</w:t>
      </w:r>
      <w:r>
        <w:t xml:space="preserve"> </w:t>
      </w:r>
      <w:r>
        <w:t xml:space="preserve">“</w:t>
      </w:r>
      <w:r>
        <w:t xml:space="preserve">Review Board</w:t>
      </w:r>
      <w:r>
        <w:t xml:space="preserve">”</w:t>
      </w:r>
      <w:r>
        <w:t xml:space="preserve"> </w:t>
      </w:r>
      <w:r>
        <w:t xml:space="preserve">refers to</w:t>
      </w:r>
      <w:r>
        <w:t xml:space="preserve"> </w:t>
      </w:r>
      <w:r>
        <w:t xml:space="preserve">“</w:t>
      </w:r>
      <w:r>
        <w:t xml:space="preserve">section 1744</w:t>
      </w:r>
      <w:r>
        <w:t xml:space="preserve">”</w:t>
      </w:r>
      <w:r>
        <w:t xml:space="preserve"> </w:t>
      </w:r>
      <w:r>
        <w:t xml:space="preserve">and the Controlled Disclosure Campaign Plan to</w:t>
      </w:r>
      <w:r>
        <w:t xml:space="preserve"> </w:t>
      </w:r>
      <w:r>
        <w:t xml:space="preserve">“</w:t>
      </w:r>
      <w:r>
        <w:t xml:space="preserve">section</w:t>
      </w:r>
      <w:r>
        <w:t xml:space="preserve"> </w:t>
      </w:r>
      <w:r>
        <w:t xml:space="preserve">1746(c)(3).</w:t>
      </w:r>
      <w:r>
        <w:t xml:space="preserve">”</w:t>
      </w:r>
      <w:r>
        <w:t xml:space="preserve"> </w:t>
      </w:r>
      <w:r>
        <w:t xml:space="preserve">If enacted without correction, courts would likely read the references as scrivener’s</w:t>
      </w:r>
      <w:r>
        <w:t xml:space="preserve"> </w:t>
      </w:r>
      <w:r>
        <w:t xml:space="preserve">errors and apply them to the corresponding sections, but the errors would invite litigation over the</w:t>
      </w:r>
      <w:r>
        <w:t xml:space="preserve"> </w:t>
      </w:r>
      <w:r>
        <w:t xml:space="preserve">Board’s powers and termination date. Advocates should press for a technical correction in conference.</w:t>
      </w:r>
    </w:p>
    <w:p>
      <w:r>
        <w:pict>
          <v:rect style="width:0;height:1.5pt" o:hralign="center" o:hrstd="t" o:hr="t"/>
        </w:pict>
      </w:r>
    </w:p>
    <w:bookmarkEnd w:id="35"/>
    <w:bookmarkStart w:id="36" w:name="can-the-records-collection-be-enforced"/>
    <w:p>
      <w:pPr>
        <w:pStyle w:val="Heading2"/>
      </w:pPr>
      <w:r>
        <w:t xml:space="preserve">4. Can the Records Collection be enforced?</w:t>
      </w:r>
    </w:p>
    <w:p>
      <w:pPr>
        <w:pStyle w:val="FirstParagraph"/>
      </w:pPr>
      <w:r>
        <w:t xml:space="preserve">The enacted Records Collection contains no private right of action and no judicial review clause. The</w:t>
      </w:r>
      <w:r>
        <w:t xml:space="preserve"> </w:t>
      </w:r>
      <w:r>
        <w:t xml:space="preserve">closest precedent is litigation under the JFK Act, on which the UAP provisions were modeled.</w:t>
      </w:r>
    </w:p>
    <w:p>
      <w:pPr>
        <w:pStyle w:val="Compact"/>
        <w:numPr>
          <w:ilvl w:val="0"/>
          <w:numId w:val="1006"/>
        </w:numPr>
      </w:pPr>
      <w:r>
        <w:rPr>
          <w:iCs/>
          <w:i/>
        </w:rPr>
        <w:t xml:space="preserve">Mary Ferrell Foundation v. Biden</w:t>
      </w:r>
      <w:r>
        <w:t xml:space="preserve">, 2024 WL 4880527 (9th Cir. Nov. 25, 2024) (unpublished): the</w:t>
      </w:r>
      <w:r>
        <w:t xml:space="preserve"> </w:t>
      </w:r>
      <w:r>
        <w:t xml:space="preserve">Ninth Circuit dismissed the interlocutory appeal from the order dismissing most claims and affirmed</w:t>
      </w:r>
      <w:r>
        <w:t xml:space="preserve"> </w:t>
      </w:r>
      <w:r>
        <w:t xml:space="preserve">denial of preliminary injunctions. A request to compel NARA to collect additional records was</w:t>
      </w:r>
      <w:r>
        <w:t xml:space="preserve"> </w:t>
      </w:r>
      <w:r>
        <w:t xml:space="preserve">unlikely to succeed because an APA claim under 5 U.S.C. §706(1) lies only where an agency</w:t>
      </w:r>
      <w:r>
        <w:t xml:space="preserve"> </w:t>
      </w:r>
      <w:r>
        <w:t xml:space="preserve">“</w:t>
      </w:r>
      <w:r>
        <w:t xml:space="preserve">failed to</w:t>
      </w:r>
      <w:r>
        <w:t xml:space="preserve"> </w:t>
      </w:r>
      <w:r>
        <w:t xml:space="preserve">take a discrete agency action that it is required to take,</w:t>
      </w:r>
      <w:r>
        <w:t xml:space="preserve">”</w:t>
      </w:r>
      <w:r>
        <w:t xml:space="preserve"> </w:t>
      </w:r>
      <w:r>
        <w:rPr>
          <w:iCs/>
          <w:i/>
        </w:rPr>
        <w:t xml:space="preserve">Norton v. Southern Utah Wilderness</w:t>
      </w:r>
      <w:r>
        <w:rPr>
          <w:iCs/>
          <w:i/>
        </w:rPr>
        <w:t xml:space="preserve"> </w:t>
      </w:r>
      <w:r>
        <w:rPr>
          <w:iCs/>
          <w:i/>
        </w:rPr>
        <w:t xml:space="preserve">Alliance</w:t>
      </w:r>
      <w:r>
        <w:t xml:space="preserve">, 542 U.S. 55, 64 (2004). The balance of harms weighed against enjoining presidential</w:t>
      </w:r>
      <w:r>
        <w:t xml:space="preserve"> </w:t>
      </w:r>
      <w:r>
        <w:t xml:space="preserve">postponement memoranda.</w:t>
      </w:r>
    </w:p>
    <w:p>
      <w:pPr>
        <w:pStyle w:val="Compact"/>
        <w:numPr>
          <w:ilvl w:val="0"/>
          <w:numId w:val="1006"/>
        </w:numPr>
      </w:pPr>
      <w:r>
        <w:rPr>
          <w:iCs/>
          <w:i/>
        </w:rPr>
        <w:t xml:space="preserve">Mary Ferrell Foundation v. NARA</w:t>
      </w:r>
      <w:r>
        <w:t xml:space="preserve">, 2026 WL 412367 (N.D. Cal. Feb. 13, 2026): claims against the</w:t>
      </w:r>
      <w:r>
        <w:t xml:space="preserve"> </w:t>
      </w:r>
      <w:r>
        <w:t xml:space="preserve">President had been dismissed; the remaining APA (or mandamus) claims failed on summary judgment. NARA</w:t>
      </w:r>
      <w:r>
        <w:t xml:space="preserve"> </w:t>
      </w:r>
      <w:r>
        <w:t xml:space="preserve">was not obliged to obtain originating agencies’ unredacted versions of records; the claim concerning</w:t>
      </w:r>
      <w:r>
        <w:t xml:space="preserve"> </w:t>
      </w:r>
      <w:r>
        <w:t xml:space="preserve">destroyed records failed for lack of a</w:t>
      </w:r>
      <w:r>
        <w:t xml:space="preserve"> </w:t>
      </w:r>
      <w:r>
        <w:t xml:space="preserve">“</w:t>
      </w:r>
      <w:r>
        <w:t xml:space="preserve">substantial likelihood</w:t>
      </w:r>
      <w:r>
        <w:t xml:space="preserve">”</w:t>
      </w:r>
      <w:r>
        <w:t xml:space="preserve"> </w:t>
      </w:r>
      <w:r>
        <w:t xml:space="preserve">that referral to the Attorney General</w:t>
      </w:r>
      <w:r>
        <w:t xml:space="preserve"> </w:t>
      </w:r>
      <w:r>
        <w:t xml:space="preserve">would recover anything; and an executive order</w:t>
      </w:r>
      <w:r>
        <w:t xml:space="preserve"> </w:t>
      </w:r>
      <w:r>
        <w:t xml:space="preserve">“</w:t>
      </w:r>
      <w:r>
        <w:t xml:space="preserve">does not create or modify private rights in a way that</w:t>
      </w:r>
      <w:r>
        <w:t xml:space="preserve"> </w:t>
      </w:r>
      <w:r>
        <w:t xml:space="preserve">can give rise to legal actions.</w:t>
      </w:r>
      <w:r>
        <w:t xml:space="preserve">”</w:t>
      </w:r>
    </w:p>
    <w:p>
      <w:pPr>
        <w:pStyle w:val="Compact"/>
        <w:numPr>
          <w:ilvl w:val="0"/>
          <w:numId w:val="1006"/>
        </w:numPr>
      </w:pPr>
      <w:r>
        <w:rPr>
          <w:iCs/>
          <w:i/>
        </w:rPr>
        <w:t xml:space="preserve">Assassination Archives &amp; Research Center v. Department of Justice</w:t>
      </w:r>
      <w:r>
        <w:t xml:space="preserve">, 43 F.3d 1542, 1543-45 (D.C. Cir. 1995): the</w:t>
      </w:r>
      <w:r>
        <w:t xml:space="preserve"> </w:t>
      </w:r>
      <w:r>
        <w:t xml:space="preserve">JFK Act creates no private right of action, and a requester cannot use FOIA’s procedures to obtain the JFK Act’s</w:t>
      </w:r>
      <w:r>
        <w:t xml:space="preserve"> </w:t>
      </w:r>
      <w:r>
        <w:t xml:space="preserve">more generous release standards. The FBI had released one of four paragraphs under FOIA and, applying the JFK</w:t>
      </w:r>
      <w:r>
        <w:t xml:space="preserve"> </w:t>
      </w:r>
      <w:r>
        <w:t xml:space="preserve">Act’s criteria, all but a line and a half, but the court held that the requester’s FOIA claim was judged by FOIA’s exemptions alone.</w:t>
      </w:r>
    </w:p>
    <w:p>
      <w:pPr>
        <w:pStyle w:val="Compact"/>
        <w:numPr>
          <w:ilvl w:val="0"/>
          <w:numId w:val="1006"/>
        </w:numPr>
      </w:pPr>
      <w:r>
        <w:rPr>
          <w:iCs/>
          <w:i/>
        </w:rPr>
        <w:t xml:space="preserve">Scott v. CIA</w:t>
      </w:r>
      <w:r>
        <w:t xml:space="preserve">, 916 F. Supp. 42, 47, 50 &amp; n.8 (D.D.C. 1996): the son of a former CIA Mexico City station chief sought</w:t>
      </w:r>
      <w:r>
        <w:t xml:space="preserve"> </w:t>
      </w:r>
      <w:r>
        <w:t xml:space="preserve">his father’s manuscript and files. The court dismissed the JFK Act claims for lack of a private right of action,</w:t>
      </w:r>
      <w:r>
        <w:t xml:space="preserve"> </w:t>
      </w:r>
      <w:r>
        <w:t xml:space="preserve">following</w:t>
      </w:r>
      <w:r>
        <w:t xml:space="preserve"> </w:t>
      </w:r>
      <w:r>
        <w:rPr>
          <w:iCs/>
          <w:i/>
        </w:rPr>
        <w:t xml:space="preserve">Assassination Archives</w:t>
      </w:r>
      <w:r>
        <w:t xml:space="preserve">, but held that records released through the JFK collection could still support</w:t>
      </w:r>
      <w:r>
        <w:t xml:space="preserve"> </w:t>
      </w:r>
      <w:r>
        <w:t xml:space="preserve">a FOIA public-domain argument. The requester had to list the specific information already public, with</w:t>
      </w:r>
      <w:r>
        <w:t xml:space="preserve"> </w:t>
      </w:r>
      <w:r>
        <w:t xml:space="preserve">documentation, and the agency then had to release it or explain, by declaration, why formal release of that</w:t>
      </w:r>
      <w:r>
        <w:t xml:space="preserve"> </w:t>
      </w:r>
      <w:r>
        <w:t xml:space="preserve">information would still harm national security. The court rejected the government’s objection that this imported</w:t>
      </w:r>
      <w:r>
        <w:t xml:space="preserve"> </w:t>
      </w:r>
      <w:r>
        <w:t xml:space="preserve">the JFK Act’s standards into FOIA, because the rationale for releasing public-domain information does not depend on</w:t>
      </w:r>
      <w:r>
        <w:t xml:space="preserve"> </w:t>
      </w:r>
      <w:r>
        <w:t xml:space="preserve">how the information became public.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50 n.8.</w:t>
      </w:r>
    </w:p>
    <w:p>
      <w:pPr>
        <w:pStyle w:val="FirstParagraph"/>
      </w:pPr>
      <w:r>
        <w:t xml:space="preserve">Applying these decisions to the UAP Collection: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Name agencies as defendants and leave the President out.</w:t>
      </w:r>
      <w:r>
        <w:t xml:space="preserve"> </w:t>
      </w:r>
      <w:r>
        <w:t xml:space="preserve">Presidential certifications under §1842(g)(2)(D) are unlikely</w:t>
      </w:r>
      <w:r>
        <w:t xml:space="preserve"> </w:t>
      </w:r>
      <w:r>
        <w:t xml:space="preserve">to be reviewable. Agency failures to perform discrete, mandatory duties are the better target.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Identify discrete duties.</w:t>
      </w:r>
      <w:r>
        <w:t xml:space="preserve"> </w:t>
      </w:r>
      <w:r>
        <w:t xml:space="preserve">The strongest candidates are (a) the duty to transmit identified UAP</w:t>
      </w:r>
      <w:r>
        <w:t xml:space="preserve"> </w:t>
      </w:r>
      <w:r>
        <w:t xml:space="preserve">records; (b) the bar on withholding records created outside the government (§1842(a)(2)(C)); (c) the</w:t>
      </w:r>
      <w:r>
        <w:t xml:space="preserve"> </w:t>
      </w:r>
      <w:r>
        <w:t xml:space="preserve">bar on re-withholding records already public (§1842(a)(2)(B)); (d) publication in the Federal</w:t>
      </w:r>
      <w:r>
        <w:t xml:space="preserve"> </w:t>
      </w:r>
      <w:r>
        <w:t xml:space="preserve">Register of an unclassified reason for each continued postponement (§1842(g)(2)(B)); and (e) the</w:t>
      </w:r>
      <w:r>
        <w:t xml:space="preserve"> </w:t>
      </w:r>
      <w:r>
        <w:t xml:space="preserve">25-year deadline for records whose postponement has not been certified.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Use FOIA in parallel.</w:t>
      </w:r>
      <w:r>
        <w:t xml:space="preserve"> </w:t>
      </w:r>
      <w:r>
        <w:t xml:space="preserve">FOIA supplies an express cause of action and de novo review, but under</w:t>
      </w:r>
      <w:r>
        <w:t xml:space="preserve"> </w:t>
      </w:r>
      <w:r>
        <w:rPr>
          <w:iCs/>
          <w:i/>
        </w:rPr>
        <w:t xml:space="preserve">Assassination Archives</w:t>
      </w:r>
      <w:r>
        <w:t xml:space="preserve"> </w:t>
      </w:r>
      <w:r>
        <w:t xml:space="preserve">a FOIA claim is decided on FOIA’s own exemptions; the Collection’s stricter postponement</w:t>
      </w:r>
      <w:r>
        <w:t xml:space="preserve"> </w:t>
      </w:r>
      <w:r>
        <w:t xml:space="preserve">standard (§1842(g)) cannot be imported into it. Releases from the Collection still count in a FOIA case: under</w:t>
      </w:r>
      <w:r>
        <w:t xml:space="preserve"> </w:t>
      </w:r>
      <w:r>
        <w:rPr>
          <w:iCs/>
          <w:i/>
        </w:rPr>
        <w:t xml:space="preserve">Scott</w:t>
      </w:r>
      <w:r>
        <w:t xml:space="preserve">, a requester who lists specific information the Collection has made public can require the agency to</w:t>
      </w:r>
      <w:r>
        <w:t xml:space="preserve"> </w:t>
      </w:r>
      <w:r>
        <w:t xml:space="preserve">release the matching withheld text or justify withholding it. A FOIA request for the same records, combined with an APA claim</w:t>
      </w:r>
      <w:r>
        <w:t xml:space="preserve"> </w:t>
      </w:r>
      <w:r>
        <w:t xml:space="preserve">for violation of the Collection’s specific duties, gives a court two routes. The pending H.R. 8800 would expressly preserve both.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Use the destruction bar early.</w:t>
      </w:r>
      <w:r>
        <w:t xml:space="preserve"> </w:t>
      </w:r>
      <w:r>
        <w:t xml:space="preserve">§1842(a)(2)(A) forbids destruction or alteration of UAP records.</w:t>
      </w:r>
      <w:r>
        <w:t xml:space="preserve"> </w:t>
      </w:r>
      <w:r>
        <w:t xml:space="preserve">Counsel aware of a risk of destruction should send a preservation demand to the agency and NARA and</w:t>
      </w:r>
      <w:r>
        <w:t xml:space="preserve"> </w:t>
      </w:r>
      <w:r>
        <w:t xml:space="preserve">ask the Archivist to act under 44 U.S.C. §3106 (unlawful removal or destruction; referral to the</w:t>
      </w:r>
      <w:r>
        <w:t xml:space="preserve"> </w:t>
      </w:r>
      <w:r>
        <w:t xml:space="preserve">Attorney General).</w:t>
      </w:r>
    </w:p>
    <w:p>
      <w:pPr>
        <w:pStyle w:val="FirstParagraph"/>
      </w:pPr>
      <w:r>
        <w:rPr>
          <w:bCs/>
          <w:b/>
        </w:rPr>
        <w:t xml:space="preserve">The executive branch’s position on presidential records.</w:t>
      </w:r>
      <w:r>
        <w:t xml:space="preserve"> </w:t>
      </w:r>
      <w:r>
        <w:t xml:space="preserve">On April 1, 2026, the Office of Legal Counsel</w:t>
      </w:r>
      <w:r>
        <w:t xml:space="preserve"> </w:t>
      </w:r>
      <w:r>
        <w:t xml:space="preserve">advised the Counsel to the President that the Presidential Records Act</w:t>
      </w:r>
      <w:r>
        <w:t xml:space="preserve"> </w:t>
      </w:r>
      <w:r>
        <w:t xml:space="preserve">“</w:t>
      </w:r>
      <w:r>
        <w:t xml:space="preserve">is unconstitutional because it exceeds</w:t>
      </w:r>
      <w:r>
        <w:t xml:space="preserve"> </w:t>
      </w:r>
      <w:r>
        <w:t xml:space="preserve">Congress’s enumerated and implied powers and aggrandizes the Legislative Branch at the expense of the</w:t>
      </w:r>
      <w:r>
        <w:t xml:space="preserve"> </w:t>
      </w:r>
      <w:r>
        <w:t xml:space="preserve">constitutional independence and autonomy of the Executive,</w:t>
      </w:r>
      <w:r>
        <w:t xml:space="preserve">”</w:t>
      </w:r>
      <w:r>
        <w:t xml:space="preserve"> </w:t>
      </w:r>
      <w:r>
        <w:t xml:space="preserve">and that the Act</w:t>
      </w:r>
      <w:r>
        <w:t xml:space="preserve"> </w:t>
      </w:r>
      <w:r>
        <w:t xml:space="preserve">“</w:t>
      </w:r>
      <w:r>
        <w:t xml:space="preserve">is invalid in its entirety.</w:t>
      </w:r>
      <w:r>
        <w:t xml:space="preserve">”</w:t>
      </w:r>
      <w:r>
        <w:t xml:space="preserve"> </w:t>
      </w:r>
      <w:r>
        <w:rPr>
          <w:iCs/>
          <w:i/>
        </w:rPr>
        <w:t xml:space="preserve">Constitutionality of the Presidential Records Act</w:t>
      </w:r>
      <w:r>
        <w:t xml:space="preserve">, 50 Op. O.L.C. __, slip op. at 1, 49-50 (Apr. 1, 2026). The opinion treats</w:t>
      </w:r>
      <w:r>
        <w:t xml:space="preserve"> </w:t>
      </w:r>
      <w:r>
        <w:rPr>
          <w:iCs/>
          <w:i/>
        </w:rPr>
        <w:t xml:space="preserve">Nixon v. Administrator of General Services</w:t>
      </w:r>
      <w:r>
        <w:t xml:space="preserve">, 433 U.S. 425 (1977), as limited</w:t>
      </w:r>
      <w:r>
        <w:t xml:space="preserve"> </w:t>
      </w:r>
      <w:r>
        <w:t xml:space="preserve">to a former President’s records and reasons that Congress may reach presidential papers only for a valid</w:t>
      </w:r>
      <w:r>
        <w:t xml:space="preserve"> </w:t>
      </w:r>
      <w:r>
        <w:t xml:space="preserve">legislative purpose. The enacted Records Collection does not define</w:t>
      </w:r>
      <w:r>
        <w:t xml:space="preserve"> </w:t>
      </w:r>
      <w:r>
        <w:t xml:space="preserve">“</w:t>
      </w:r>
      <w:r>
        <w:t xml:space="preserve">Government office,</w:t>
      </w:r>
      <w:r>
        <w:t xml:space="preserve">”</w:t>
      </w:r>
      <w:r>
        <w:t xml:space="preserve"> </w:t>
      </w:r>
      <w:r>
        <w:t xml:space="preserve">but H.R. 8800 would</w:t>
      </w:r>
      <w:r>
        <w:t xml:space="preserve"> </w:t>
      </w:r>
      <w:r>
        <w:t xml:space="preserve">expressly reach UAP records of</w:t>
      </w:r>
      <w:r>
        <w:t xml:space="preserve"> </w:t>
      </w:r>
      <w:r>
        <w:t xml:space="preserve">“</w:t>
      </w:r>
      <w:r>
        <w:t xml:space="preserve">the Executive Office of the President</w:t>
      </w:r>
      <w:r>
        <w:t xml:space="preserve">”</w:t>
      </w:r>
      <w:r>
        <w:t xml:space="preserve"> </w:t>
      </w:r>
      <w:r>
        <w:t xml:space="preserve">(§1773(23)(A)). Counsel should expect the</w:t>
      </w:r>
      <w:r>
        <w:t xml:space="preserve"> </w:t>
      </w:r>
      <w:r>
        <w:t xml:space="preserve">executive branch to resist, on the OLC’s reasoning, any attempt to compel transmission of White House UAP records</w:t>
      </w:r>
      <w:r>
        <w:t xml:space="preserve"> </w:t>
      </w:r>
      <w:r>
        <w:t xml:space="preserve">under either statute. The best answers are that the Collection serves an identifiable legislative purpose,</w:t>
      </w:r>
      <w:r>
        <w:t xml:space="preserve"> </w:t>
      </w:r>
      <w:r>
        <w:t xml:space="preserve">oversight of UAP programs and their funding (the same Act limits funds for unreported UAP programs, FY2024 NDAA</w:t>
      </w:r>
      <w:r>
        <w:t xml:space="preserve"> </w:t>
      </w:r>
      <w:r>
        <w:t xml:space="preserve">§1687), which is the element the OLC found missing from the PRA, and that an OLC opinion binds the executive branch</w:t>
      </w:r>
      <w:r>
        <w:t xml:space="preserve"> </w:t>
      </w:r>
      <w:r>
        <w:t xml:space="preserve">but not the courts. The legislative-purpose answer would be stronger if stated in the statute: the 2023 Senate bill</w:t>
      </w:r>
      <w:r>
        <w:t xml:space="preserve"> </w:t>
      </w:r>
      <w:r>
        <w:t xml:space="preserve">contained a findings, declarations, and purposes section (§__02), but neither the enacted subtitle nor H.R. 8800</w:t>
      </w:r>
      <w:r>
        <w:t xml:space="preserve"> </w:t>
      </w:r>
      <w:r>
        <w:t xml:space="preserve">does. Advocates should ask conferees to restore it. Litigants should</w:t>
      </w:r>
      <w:r>
        <w:t xml:space="preserve"> </w:t>
      </w:r>
      <w:r>
        <w:t xml:space="preserve">direct claims at agency-held copies of presidential-level records where possible, since those are agency records</w:t>
      </w:r>
      <w:r>
        <w:t xml:space="preserve"> </w:t>
      </w:r>
      <w:r>
        <w:t xml:space="preserve">under FOIA and the Collection.</w:t>
      </w:r>
    </w:p>
    <w:p>
      <w:r>
        <w:pict>
          <v:rect style="width:0;height:1.5pt" o:hralign="center" o:hrstd="t" o:hr="t"/>
        </w:pict>
      </w:r>
    </w:p>
    <w:bookmarkEnd w:id="36"/>
    <w:bookmarkStart w:id="37" w:name="the-statutes-as-official-acknowledgment"/>
    <w:p>
      <w:pPr>
        <w:pStyle w:val="Heading2"/>
      </w:pPr>
      <w:r>
        <w:t xml:space="preserve">5. The statutes as official acknowledgment</w:t>
      </w:r>
    </w:p>
    <w:p>
      <w:pPr>
        <w:pStyle w:val="FirstParagraph"/>
      </w:pPr>
      <w:r>
        <w:t xml:space="preserve">Every enacted provision is an official act of the United States. The FY2023 and FY2024 provisions</w:t>
      </w:r>
      <w:r>
        <w:t xml:space="preserve"> </w:t>
      </w:r>
      <w:r>
        <w:t xml:space="preserve">acknowledge, at minimum, that Congress found it necessary to legislate for</w:t>
      </w:r>
      <w:r>
        <w:t xml:space="preserve"> </w:t>
      </w:r>
      <w:r>
        <w:t xml:space="preserve">“</w:t>
      </w:r>
      <w:r>
        <w:t xml:space="preserve">material retrieval,</w:t>
      </w:r>
      <w:r>
        <w:t xml:space="preserve"> </w:t>
      </w:r>
      <w:r>
        <w:t xml:space="preserve">material analysis, reverse engineering</w:t>
      </w:r>
      <w:r>
        <w:t xml:space="preserve">”</w:t>
      </w:r>
      <w:r>
        <w:t xml:space="preserve"> </w:t>
      </w:r>
      <w:r>
        <w:t xml:space="preserve">programs relating to UAP, to require reporting of restricted</w:t>
      </w:r>
      <w:r>
        <w:t xml:space="preserve"> </w:t>
      </w:r>
      <w:r>
        <w:t xml:space="preserve">access programs</w:t>
      </w:r>
      <w:r>
        <w:t xml:space="preserve"> </w:t>
      </w:r>
      <w:r>
        <w:t xml:space="preserve">“</w:t>
      </w:r>
      <w:r>
        <w:t xml:space="preserve">not explicitly and clearly reported to Congress,</w:t>
      </w:r>
      <w:r>
        <w:t xml:space="preserve">”</w:t>
      </w:r>
      <w:r>
        <w:t xml:space="preserve"> </w:t>
      </w:r>
      <w:r>
        <w:t xml:space="preserve">to bar funding for unreported UAP</w:t>
      </w:r>
      <w:r>
        <w:t xml:space="preserve"> </w:t>
      </w:r>
      <w:r>
        <w:t xml:space="preserve">activities, and to collect records relating to</w:t>
      </w:r>
      <w:r>
        <w:t xml:space="preserve"> </w:t>
      </w:r>
      <w:r>
        <w:t xml:space="preserve">“</w:t>
      </w:r>
      <w:r>
        <w:t xml:space="preserve">technologies of unknown origin, and non-human</w:t>
      </w:r>
      <w:r>
        <w:t xml:space="preserve"> </w:t>
      </w:r>
      <w:r>
        <w:t xml:space="preserve">intelligence.</w:t>
      </w:r>
      <w:r>
        <w:t xml:space="preserve">”</w:t>
      </w:r>
      <w:r>
        <w:t xml:space="preserve"> </w:t>
      </w:r>
      <w:r>
        <w:t xml:space="preserve">These provisions do not themselves establish that such programs exist, and the</w:t>
      </w:r>
      <w:r>
        <w:t xml:space="preserve"> </w:t>
      </w:r>
      <w:r>
        <w:t xml:space="preserve">government will say so. They do make it harder for an agency to argue that merely confirming the</w:t>
      </w:r>
      <w:r>
        <w:t xml:space="preserve"> </w:t>
      </w:r>
      <w:r>
        <w:t xml:space="preserve">existence of records on those subjects would harm national security, which is the premise of a Glomar</w:t>
      </w:r>
      <w:r>
        <w:t xml:space="preserve"> </w:t>
      </w:r>
      <w:r>
        <w:t xml:space="preserve">response (Issues A1, B1).</w:t>
      </w:r>
    </w:p>
    <w:p>
      <w:r>
        <w:pict>
          <v:rect style="width:0;height:1.5pt" o:hralign="center" o:hrstd="t" o:hr="t"/>
        </w:pict>
      </w:r>
    </w:p>
    <w:bookmarkEnd w:id="37"/>
    <w:bookmarkStart w:id="39" w:name="state-law"/>
    <w:p>
      <w:pPr>
        <w:pStyle w:val="Heading2"/>
      </w:pPr>
      <w:r>
        <w:t xml:space="preserve">6. State law</w:t>
      </w:r>
    </w:p>
    <w:p>
      <w:pPr>
        <w:pStyle w:val="FirstParagraph"/>
      </w:pPr>
      <w:r>
        <w:t xml:space="preserve">No state has enacted a UAP statute comparable to the federal provisions. A search of all state statutes in</w:t>
      </w:r>
      <w:r>
        <w:t xml:space="preserve"> </w:t>
      </w:r>
      <w:r>
        <w:t xml:space="preserve">October 2026 (terms</w:t>
      </w:r>
      <w:r>
        <w:t xml:space="preserve"> </w:t>
      </w:r>
      <w:r>
        <w:t xml:space="preserve">“</w:t>
      </w:r>
      <w:r>
        <w:t xml:space="preserve">unidentified anomalous phenomena,</w:t>
      </w:r>
      <w:r>
        <w:t xml:space="preserve">”</w:t>
      </w:r>
      <w:r>
        <w:t xml:space="preserve"> </w:t>
      </w:r>
      <w:r>
        <w:t xml:space="preserve">“</w:t>
      </w:r>
      <w:r>
        <w:t xml:space="preserve">unidentified aerial phenomena,</w:t>
      </w:r>
      <w:r>
        <w:t xml:space="preserve">”</w:t>
      </w:r>
      <w:r>
        <w:t xml:space="preserve"> </w:t>
      </w:r>
      <w:r>
        <w:t xml:space="preserve">“</w:t>
      </w:r>
      <w:r>
        <w:t xml:space="preserve">unidentified flying</w:t>
      </w:r>
      <w:r>
        <w:t xml:space="preserve"> </w:t>
      </w:r>
      <w:r>
        <w:t xml:space="preserve">object,</w:t>
      </w:r>
      <w:r>
        <w:t xml:space="preserve">”</w:t>
      </w:r>
      <w:r>
        <w:t xml:space="preserve"> </w:t>
      </w:r>
      <w:r>
        <w:t xml:space="preserve">“</w:t>
      </w:r>
      <w:r>
        <w:t xml:space="preserve">UFO,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UAP</w:t>
      </w:r>
      <w:r>
        <w:t xml:space="preserve">”</w:t>
      </w:r>
      <w:r>
        <w:t xml:space="preserve">) found one enactment. New Jersey’s aviation grant program,</w:t>
      </w:r>
      <w:r>
        <w:t xml:space="preserve"> </w:t>
      </w:r>
      <w:r>
        <w:t xml:space="preserve">N.J.S.A. 18A:3B-42.1 (L. 2025, c. 269, §4, eff. Jan. 12, 2026), directs the Secretary of Higher Education to</w:t>
      </w:r>
      <w:r>
        <w:t xml:space="preserve"> </w:t>
      </w:r>
      <w:r>
        <w:t xml:space="preserve">award $2,500,000 a year in grants to public institutions of higher education that participate in the federal</w:t>
      </w:r>
      <w:r>
        <w:t xml:space="preserve"> </w:t>
      </w:r>
      <w:r>
        <w:t xml:space="preserve">Unmanned Aircraft Systems Collegiate Training Initiative, and lists among the program’s purposes to</w:t>
      </w:r>
      <w:r>
        <w:t xml:space="preserve"> </w:t>
      </w:r>
      <w:r>
        <w:t xml:space="preserve">“</w:t>
      </w:r>
      <w:r>
        <w:t xml:space="preserve">support</w:t>
      </w:r>
      <w:r>
        <w:t xml:space="preserve"> </w:t>
      </w:r>
      <w:r>
        <w:t xml:space="preserve">the establishment of a Center for the Study of Unidentified Aerial Phenomena</w:t>
      </w:r>
      <w:r>
        <w:t xml:space="preserve">”</w:t>
      </w:r>
      <w:r>
        <w:t xml:space="preserve"> </w:t>
      </w:r>
      <w:r>
        <w:t xml:space="preserve">(§42.1(a)(2)). Applicants must</w:t>
      </w:r>
      <w:r>
        <w:t xml:space="preserve"> </w:t>
      </w:r>
      <w:r>
        <w:t xml:space="preserve">describe their</w:t>
      </w:r>
      <w:r>
        <w:t xml:space="preserve"> </w:t>
      </w:r>
      <w:r>
        <w:t xml:space="preserve">“</w:t>
      </w:r>
      <w:r>
        <w:t xml:space="preserve">capacity to support</w:t>
      </w:r>
      <w:r>
        <w:t xml:space="preserve">”</w:t>
      </w:r>
      <w:r>
        <w:t xml:space="preserve"> </w:t>
      </w:r>
      <w:r>
        <w:t xml:space="preserve">such a center (§42.1(c)(2)). The statute does not define the phenomena,</w:t>
      </w:r>
      <w:r>
        <w:t xml:space="preserve"> </w:t>
      </w:r>
      <w:r>
        <w:t xml:space="preserve">create reporting duties, or address records; its significance is that a state has appropriated money for UAP</w:t>
      </w:r>
      <w:r>
        <w:t xml:space="preserve"> </w:t>
      </w:r>
      <w:r>
        <w:t xml:space="preserve">research at public universities, whose records are then reachable under the state’s open public records law.</w:t>
      </w:r>
    </w:p>
    <w:p>
      <w:pPr>
        <w:pStyle w:val="BodyText"/>
      </w:pPr>
      <w:r>
        <w:t xml:space="preserve">Pending proposals include Vermont H.654 (2026), which would create a Vermont Airspace Safety and Unidentified</w:t>
      </w:r>
      <w:r>
        <w:t xml:space="preserve"> </w:t>
      </w:r>
      <w:r>
        <w:t xml:space="preserve">Anomalous Phenomena Task Force to evaluate reports, assess airspace and public safety risks, coordinate with</w:t>
      </w:r>
      <w:r>
        <w:t xml:space="preserve"> </w:t>
      </w:r>
      <w:r>
        <w:t xml:space="preserve">academic institutions and federal agencies, and recommend reporting and response improvements, and a Connecticut proposal reported in March 2026 to fund study and public reporting. Check</w:t>
      </w:r>
      <w:r>
        <w:t xml:space="preserve"> </w:t>
      </w:r>
      <w:r>
        <w:t xml:space="preserve">each legislature’s site for current status before citing these.</w:t>
      </w:r>
    </w:p>
    <w:p>
      <w:pPr>
        <w:pStyle w:val="BodyText"/>
      </w:pPr>
      <w:r>
        <w:t xml:space="preserve">State public-records laws reach state police, aviation, emergency management, and university records of UAP</w:t>
      </w:r>
      <w:r>
        <w:t xml:space="preserve"> </w:t>
      </w:r>
      <w:r>
        <w:t xml:space="preserve">events (</w:t>
      </w:r>
      <w:hyperlink r:id="rId38">
        <w:r>
          <w:rPr>
            <w:rStyle w:val="Hyperlink"/>
          </w:rPr>
          <w:t xml:space="preserve">Issue B1</w:t>
        </w:r>
      </w:hyperlink>
      <w:r>
        <w:t xml:space="preserve">). Some state legislatures have also considered resolutions supporting federal disclosure.</w:t>
      </w:r>
    </w:p>
    <w:p>
      <w:r>
        <w:pict>
          <v:rect style="width:0;height:1.5pt" o:hralign="center" o:hrstd="t" o:hr="t"/>
        </w:pict>
      </w:r>
    </w:p>
    <w:bookmarkEnd w:id="39"/>
    <w:bookmarkStart w:id="40" w:name="practice-points"/>
    <w:p>
      <w:pPr>
        <w:pStyle w:val="Heading2"/>
      </w:pPr>
      <w:r>
        <w:t xml:space="preserve">7. Practice points</w:t>
      </w:r>
    </w:p>
    <w:p>
      <w:pPr>
        <w:pStyle w:val="Compact"/>
        <w:numPr>
          <w:ilvl w:val="0"/>
          <w:numId w:val="1008"/>
        </w:numPr>
      </w:pPr>
      <w:r>
        <w:t xml:space="preserve">Cite the current codification (50 U.S.C.A. §3373 effective Dec. 18, 2025) and check a citator for pending</w:t>
      </w:r>
      <w:r>
        <w:t xml:space="preserve"> </w:t>
      </w:r>
      <w:r>
        <w:t xml:space="preserve">legislation that would amend it.</w:t>
      </w:r>
    </w:p>
    <w:p>
      <w:pPr>
        <w:pStyle w:val="Compact"/>
        <w:numPr>
          <w:ilvl w:val="0"/>
          <w:numId w:val="1008"/>
        </w:numPr>
      </w:pPr>
      <w:r>
        <w:t xml:space="preserve">For cleared clients, use the §3373b mechanism; its protections exceed the PURSUE waiver.</w:t>
      </w:r>
    </w:p>
    <w:p>
      <w:pPr>
        <w:pStyle w:val="Compact"/>
        <w:numPr>
          <w:ilvl w:val="0"/>
          <w:numId w:val="1008"/>
        </w:numPr>
      </w:pPr>
      <w:r>
        <w:t xml:space="preserve">For records requests, invoke §§1842-1843 alongside FOIA and ask agencies to state whether each record</w:t>
      </w:r>
      <w:r>
        <w:t xml:space="preserve"> </w:t>
      </w:r>
      <w:r>
        <w:t xml:space="preserve">has been transmitted to RG 615 and, if postponed, which §1843(a) ground was found by clear and</w:t>
      </w:r>
      <w:r>
        <w:t xml:space="preserve"> </w:t>
      </w:r>
      <w:r>
        <w:t xml:space="preserve">convincing evidence and where the Federal Register notice appears.</w:t>
      </w:r>
    </w:p>
    <w:p>
      <w:pPr>
        <w:pStyle w:val="Compact"/>
        <w:numPr>
          <w:ilvl w:val="0"/>
          <w:numId w:val="1008"/>
        </w:numPr>
      </w:pPr>
      <w:r>
        <w:t xml:space="preserve">For private holders of material, monitor H.R. 8800 §1767 and prepare for a takings analysis (Issue</w:t>
      </w:r>
      <w:r>
        <w:t xml:space="preserve"> </w:t>
      </w:r>
      <w:r>
        <w:t xml:space="preserve">E1); preserve chain-of-custody and acquisition records.</w:t>
      </w:r>
    </w:p>
    <w:p>
      <w:pPr>
        <w:pStyle w:val="Compact"/>
        <w:numPr>
          <w:ilvl w:val="0"/>
          <w:numId w:val="1008"/>
        </w:numPr>
      </w:pPr>
      <w:r>
        <w:t xml:space="preserve">For legislators and advocates, propose technical corrections to the H.R. 8800 cross-references,</w:t>
      </w:r>
      <w:r>
        <w:t xml:space="preserve"> </w:t>
      </w:r>
      <w:r>
        <w:t xml:space="preserve">an express compensation and procedure provision for §1767, and an express private right of action.</w:t>
      </w:r>
    </w:p>
    <w:p>
      <w:r>
        <w:pict>
          <v:rect style="width:0;height:1.5pt" o:hralign="center" o:hrstd="t" o:hr="t"/>
        </w:pict>
      </w:r>
    </w:p>
    <w:bookmarkEnd w:id="40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The Statutory Framework for UAP: What Congress Has Enacted, What Is Pending,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5" Type="http://schemas.openxmlformats.org/officeDocument/2006/relationships/hyperlink" Target="https://nhilaw.com/issues/a2.html" TargetMode="External"/><Relationship Id="rId38" Type="http://schemas.openxmlformats.org/officeDocument/2006/relationships/hyperlink" Target="https://nhilaw.com/issues/b1.html" TargetMode="External"/><Relationship Id="rId22" Type="http://schemas.openxmlformats.org/officeDocument/2006/relationships/hyperlink" Target="https://nhilaw.com/issues/c1.html" TargetMode="External"/><Relationship Id="rId28" Type="http://schemas.openxmlformats.org/officeDocument/2006/relationships/hyperlink" Target="https://nhilaw.com/issues/d2.html" TargetMode="External"/><Relationship Id="rId34" Type="http://schemas.openxmlformats.org/officeDocument/2006/relationships/hyperlink" Target="https://nhilaw.com/issues/e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5" Type="http://schemas.openxmlformats.org/officeDocument/2006/relationships/hyperlink" Target="https://nhilaw.com/issues/a2.html" TargetMode="External"/><Relationship Id="rId38" Type="http://schemas.openxmlformats.org/officeDocument/2006/relationships/hyperlink" Target="https://nhilaw.com/issues/b1.html" TargetMode="External"/><Relationship Id="rId22" Type="http://schemas.openxmlformats.org/officeDocument/2006/relationships/hyperlink" Target="https://nhilaw.com/issues/c1.html" TargetMode="External"/><Relationship Id="rId28" Type="http://schemas.openxmlformats.org/officeDocument/2006/relationships/hyperlink" Target="https://nhilaw.com/issues/d2.html" TargetMode="External"/><Relationship Id="rId34" Type="http://schemas.openxmlformats.org/officeDocument/2006/relationships/hyperlink" Target="https://nhilaw.com/issues/e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Statutory Framework for UAP: What Congress Has Enacted, What Is Pending, and What Can Be Enforced</dc:title>
  <dc:creator>nhilaw.com</dc:creator>
  <cp:keywords/>
  <dcterms:created xsi:type="dcterms:W3CDTF">2026-10-19T03:11:52Z</dcterms:created>
  <dcterms:modified xsi:type="dcterms:W3CDTF">2026-10-19T03:11:52Z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nhilaw.com/issues/a3.html</vt:lpwstr>
  </property>
</Properties>
</file>