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5" w:name="X964ae1d961182c85927cb5ee3c8ba8189f863fc"/>
    <w:p>
      <w:pPr>
        <w:pStyle w:val="Heading1"/>
        <w:suppressLineNumbers/>
      </w:pPr>
      <w:r>
        <w:t xml:space="preserve">Form A4-1. Model Statutory Provision: Affirmative Duty to Report on Non-Human Intelligence</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https://nhilaw.com/forms/a4-1.html</w:t>
      </w:r>
    </w:p>
    <w:p>
      <w:pPr>
        <w:pStyle w:val="BodyText"/>
        <w:suppressLineNumbers/>
        <w:spacing w:after="160" w:line="259" w:lineRule="auto"/>
      </w:pPr>
      <w:r>
        <w:rPr>
          <w:bCs/>
          <w:b/>
        </w:rPr>
        <w:t xml:space="preserve">Purpose.</w:t>
      </w:r>
      <w:r>
        <w:t xml:space="preserve"> </w:t>
      </w:r>
      <w:r>
        <w:t xml:space="preserve">Existing law requires release of records. It does not require the government to state</w:t>
      </w:r>
      <w:r>
        <w:t xml:space="preserve"> </w:t>
      </w:r>
      <w:r>
        <w:t xml:space="preserve">what it knows. This model adds a reporting duty with a fixed date, an independent check, and judicial</w:t>
      </w:r>
      <w:r>
        <w:t xml:space="preserve"> </w:t>
      </w:r>
      <w:r>
        <w:t xml:space="preserve">enforcement of the unclassified report.</w:t>
      </w:r>
    </w:p>
    <w:p>
      <w:pPr>
        <w:pStyle w:val="BodyText"/>
        <w:suppressLineNumbers/>
        <w:spacing w:after="160" w:line="259" w:lineRule="auto"/>
      </w:pPr>
      <w:r>
        <w:rPr>
          <w:bCs/>
          <w:b/>
        </w:rPr>
        <w:t xml:space="preserve">When to use.</w:t>
      </w:r>
      <w:r>
        <w:t xml:space="preserve"> </w:t>
      </w:r>
      <w:r>
        <w:t xml:space="preserve">Legislators, staff, and advocates drafting a statutory duty for the government to state what it knows about NHI.</w:t>
      </w:r>
      <w:r>
        <w:t xml:space="preserve"> </w:t>
      </w:r>
      <w:r>
        <w:rPr>
          <w:bCs/>
          <w:b/>
        </w:rPr>
        <w:t xml:space="preserve">Not for:</w:t>
      </w:r>
      <w:r>
        <w:t xml:space="preserve"> </w:t>
      </w:r>
      <w:r>
        <w:t xml:space="preserve">Records-release legislation alone (</w:t>
      </w:r>
      <w:hyperlink r:id="rId20">
        <w:r>
          <w:rPr>
            <w:rStyle w:val="Hyperlink"/>
          </w:rPr>
          <w:t xml:space="preserve">Form B3-1</w:t>
        </w:r>
      </w:hyperlink>
      <w:r>
        <w:t xml:space="preserve"> </w:t>
      </w:r>
      <w:r>
        <w:t xml:space="preserve">and the UAP Disclosure Act).</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tbl>
      <w:tblPr>
        <w:tblW w:type="auto" w:w="0"/>
        <w:tblLook w:firstColumn="1" w:firstRow="1" w:lastColumn="0" w:lastRow="0" w:noHBand="0" w:noVBand="1" w:val="04A0"/>
      </w:tblPr>
      <w:tblGrid>
        <w:gridCol w:w="4680"/>
        <w:gridCol w:w="4680"/>
      </w:tblGrid>
      <w:tr>
        <w:tc>
          <w:tcPr>
            <w:tcW w:type="dxa" w:w="4608"/>
          </w:tcPr>
          <w:p>
            <w:r>
              <w:rPr>
                <w:rFonts w:ascii="Century Schoolbook" w:hAnsi="Century Schoolbook" w:cs="Century Schoolbook" w:eastAsia="Century Schoolbook"/>
                <w:smallCaps/>
                <w:sz w:val="24"/>
              </w:rPr>
              <w:t>[___]TH CONGRESS</w:t>
            </w:r>
          </w:p>
          <w:p>
            <w:r>
              <w:rPr>
                <w:rFonts w:ascii="Century Schoolbook" w:hAnsi="Century Schoolbook" w:cs="Century Schoolbook" w:eastAsia="Century Schoolbook"/>
                <w:smallCaps/>
                <w:sz w:val="24"/>
              </w:rPr>
              <w:t>[___] SESSION</w:t>
            </w:r>
          </w:p>
        </w:tc>
        <w:tc>
          <w:tcPr>
            <w:tcW w:type="dxa" w:w="4752"/>
          </w:tcPr>
          <w:p>
            <w:pPr>
              <w:jc w:val="right"/>
            </w:pPr>
            <w:r>
              <w:rPr>
                <w:rFonts w:ascii="Century Schoolbook" w:hAnsi="Century Schoolbook" w:cs="Century Schoolbook" w:eastAsia="Century Schoolbook"/>
                <w:b/>
                <w:sz w:val="52"/>
              </w:rPr>
              <w:t>H. R. [____]</w:t>
            </w:r>
          </w:p>
        </w:tc>
      </w:tr>
    </w:tbl>
    <w:p>
      <w:pPr>
        <w:suppressLineNumbers/>
      </w:pPr>
    </w:p>
    <w:p>
      <w:pPr>
        <w:suppressLineNumbers/>
        <w:pBdr>
          <w:bottom w:val="single" w:sz="8" w:space="6" w:color="000000"/>
        </w:pBdr>
        <w:spacing w:before="200" w:after="200"/>
        <w:jc w:val="center"/>
      </w:pPr>
      <w:r>
        <w:rPr>
          <w:rFonts w:ascii="Century Schoolbook" w:hAnsi="Century Schoolbook" w:cs="Century Schoolbook" w:eastAsia="Century Schoolbook"/>
          <w:b w:val="0"/>
          <w:i w:val="0"/>
          <w:smallCaps w:val="0"/>
          <w:sz w:val="22"/>
        </w:rPr>
        <w:t>To require the Federal Government to report to the public on non-human intelligence and technologies of unknown origin, and for other purposes.</w:t>
      </w:r>
    </w:p>
    <w:p>
      <w:pPr>
        <w:suppressLineNumbers/>
        <w:spacing w:before="280" w:after="160"/>
        <w:jc w:val="center"/>
      </w:pPr>
      <w:r>
        <w:rPr>
          <w:rFonts w:ascii="Century Schoolbook" w:hAnsi="Century Schoolbook" w:cs="Century Schoolbook" w:eastAsia="Century Schoolbook"/>
          <w:b w:val="0"/>
          <w:i w:val="0"/>
          <w:smallCaps w:val="0"/>
          <w:sz w:val="24"/>
        </w:rPr>
        <w:t>IN THE HOUSE OF REPRESENTATIVES</w:t>
      </w:r>
    </w:p>
    <w:p>
      <w:pPr>
        <w:suppressLineNumbers/>
        <w:spacing w:before="0" w:after="160"/>
        <w:jc w:val="center"/>
      </w:pPr>
      <w:r>
        <w:rPr>
          <w:rFonts w:ascii="Century Schoolbook" w:hAnsi="Century Schoolbook" w:cs="Century Schoolbook" w:eastAsia="Century Schoolbook"/>
          <w:b w:val="0"/>
          <w:i w:val="0"/>
          <w:smallCaps w:val="0"/>
          <w:sz w:val="22"/>
        </w:rPr>
        <w:t>[MONTH DAY], [YEAR]</w:t>
      </w:r>
    </w:p>
    <w:p>
      <w:pPr>
        <w:suppressLineNumbers/>
        <w:pBdr>
          <w:bottom w:val="single" w:sz="8" w:space="6" w:color="000000"/>
        </w:pBdr>
        <w:spacing w:before="0" w:after="200"/>
        <w:ind w:left="720"/>
      </w:pPr>
      <w:r>
        <w:rPr>
          <w:rFonts w:ascii="Century Schoolbook" w:hAnsi="Century Schoolbook" w:cs="Century Schoolbook" w:eastAsia="Century Schoolbook"/>
          <w:smallCaps/>
          <w:sz w:val="22"/>
        </w:rPr>
        <w:t>[Mr./Ms. ________]</w:t>
      </w:r>
      <w:r>
        <w:rPr>
          <w:rFonts w:ascii="Century Schoolbook" w:hAnsi="Century Schoolbook" w:cs="Century Schoolbook" w:eastAsia="Century Schoolbook"/>
          <w:sz w:val="22"/>
        </w:rPr>
        <w:t xml:space="preserve"> (for [himself/herself and ________]) introduced the following bill; which was referred to the Committee on [________]</w:t>
      </w:r>
    </w:p>
    <w:p>
      <w:pPr>
        <w:suppressLineNumbers/>
        <w:spacing w:before="440" w:after="200"/>
        <w:jc w:val="center"/>
      </w:pPr>
      <w:r>
        <w:rPr>
          <w:rFonts w:ascii="Century Schoolbook" w:hAnsi="Century Schoolbook" w:cs="Century Schoolbook" w:eastAsia="Century Schoolbook"/>
          <w:b/>
          <w:i w:val="0"/>
          <w:smallCaps w:val="0"/>
          <w:sz w:val="52"/>
        </w:rPr>
        <w:t>A BILL</w:t>
      </w:r>
    </w:p>
    <w:p>
      <w:pPr>
        <w:suppressLineNumbers/>
        <w:pBdr>
          <w:bottom w:val="single" w:sz="8" w:space="6" w:color="000000"/>
        </w:pBdr>
        <w:spacing w:before="0" w:after="240"/>
        <w:ind w:left="1152" w:right="1152"/>
        <w:jc w:val="center"/>
      </w:pPr>
      <w:r>
        <w:rPr>
          <w:rFonts w:ascii="Century Schoolbook" w:hAnsi="Century Schoolbook" w:cs="Century Schoolbook" w:eastAsia="Century Schoolbook"/>
          <w:b w:val="0"/>
          <w:i w:val="0"/>
          <w:smallCaps w:val="0"/>
          <w:sz w:val="24"/>
        </w:rPr>
        <w:t>To require the Federal Government to report to the public on non-human intelligence and technologies of unknown origin, and for other purposes.</w:t>
      </w:r>
    </w:p>
    <w:p>
      <w:pPr>
        <w:suppressLineNumbers/>
        <w:spacing w:before="0" w:after="0"/>
      </w:pPr>
      <w:r>
        <w:br w:type="page"/>
      </w:r>
    </w:p>
    <w:p>
      <w:pPr>
        <w:spacing w:lineRule="exact" w:line="480" w:before="0" w:after="0"/>
        <w:ind w:firstLine="720"/>
      </w:pPr>
      <w:r>
        <w:rPr>
          <w:rFonts w:ascii="Century Schoolbook" w:hAnsi="Century Schoolbook" w:cs="Century Schoolbook" w:eastAsia="Century Schoolbook"/>
          <w:b w:val="0"/>
          <w:i w:val="0"/>
          <w:sz w:val="24"/>
        </w:rPr>
        <w:t>Be it enacted by the Senate and House of Representatives of the United States of America in Congress assembled,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REPORT TO THE PUBLIC ON NON-HUMAN INTELLIGENCE AND TECHNOLOGIES OF UNKNOWN ORIGIN.</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FINDINGS.—</w:t>
      </w:r>
      <w:r/>
      <w:r>
        <w:t xml:space="preserve">Congress finds that—</w:t>
      </w:r>
    </w:p>
    <w:p>
      <w:pPr>
        <w:pStyle w:val="BodyText"/>
        <w:spacing w:lineRule="exact" w:line="480" w:before="0" w:after="0"/>
        <w:ind w:left="720" w:firstLine="720"/>
        <w:jc w:val="both"/>
      </w:pPr>
      <w:r>
        <w:t xml:space="preserve">(1) the public has a compelling interest in knowing whether the Federal Government possesses evidence</w:t>
      </w:r>
      <w:r>
        <w:t xml:space="preserve"> </w:t>
      </w:r>
      <w:r>
        <w:t xml:space="preserve">of non-human intelligence or of technologies of non-human origin;</w:t>
      </w:r>
    </w:p>
    <w:p>
      <w:pPr>
        <w:pStyle w:val="BodyText"/>
        <w:spacing w:lineRule="exact" w:line="480" w:before="0" w:after="0"/>
        <w:ind w:left="720" w:firstLine="720"/>
        <w:jc w:val="both"/>
      </w:pPr>
      <w:r>
        <w:t xml:space="preserve">(2) Congress has required the identification and transmission of records relating to unidentified</w:t>
      </w:r>
      <w:r>
        <w:t xml:space="preserve"> </w:t>
      </w:r>
      <w:r>
        <w:t xml:space="preserve">anomalous phenomena, technologies of unknown origin, and non-human intelligence (section 1841 of the</w:t>
      </w:r>
      <w:r>
        <w:t xml:space="preserve"> </w:t>
      </w:r>
      <w:r>
        <w:t xml:space="preserve">National Defense Authorization Act for Fiscal Year 2024 (44 U.S.C. 2107 note)); and</w:t>
      </w:r>
    </w:p>
    <w:p>
      <w:pPr>
        <w:pStyle w:val="BodyText"/>
        <w:spacing w:lineRule="exact" w:line="480" w:before="0" w:after="0"/>
        <w:ind w:left="720" w:firstLine="720"/>
        <w:jc w:val="both"/>
      </w:pPr>
      <w:r>
        <w:t xml:space="preserve">(3) a records requirement alone does not ensure that the Government states its conclusions.</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REPORT REQUIRED.—</w:t>
      </w:r>
      <w:r/>
      <w:r>
        <w:t xml:space="preserve">Not later than 180 days after the date of enactment of this section, the</w:t>
      </w:r>
      <w:r>
        <w:t xml:space="preserve"> </w:t>
      </w:r>
      <w:r>
        <w:t xml:space="preserve">President shall submit to Congress, and publish in the Federal Register and on a public website, a</w:t>
      </w:r>
      <w:r>
        <w:t xml:space="preserve"> </w:t>
      </w:r>
      <w:r>
        <w:t xml:space="preserve">report that states, on the basis of all information available to any element of the Federal Government</w:t>
      </w:r>
      <w:r>
        <w:t xml:space="preserve"> </w:t>
      </w:r>
      <w:r>
        <w:t xml:space="preserve">and of any contractor of the Federal Government—</w:t>
      </w:r>
    </w:p>
    <w:p>
      <w:pPr>
        <w:pStyle w:val="BodyText"/>
        <w:spacing w:lineRule="exact" w:line="480" w:before="0" w:after="0"/>
        <w:ind w:left="720" w:firstLine="720"/>
        <w:jc w:val="both"/>
      </w:pPr>
      <w:r>
        <w:t xml:space="preserve">(1) whether the Federal Government possesses, or has at any time possessed, physical material that it</w:t>
      </w:r>
      <w:r>
        <w:t xml:space="preserve"> </w:t>
      </w:r>
      <w:r>
        <w:t xml:space="preserve">has assessed to be of non-human origin;</w:t>
      </w:r>
    </w:p>
    <w:p>
      <w:pPr>
        <w:pStyle w:val="BodyText"/>
        <w:spacing w:lineRule="exact" w:line="480" w:before="0" w:after="0"/>
        <w:ind w:left="720" w:firstLine="720"/>
        <w:jc w:val="both"/>
      </w:pPr>
      <w:r>
        <w:t xml:space="preserve">(2) whether the Federal Government possesses, or has at any time possessed, biological evidence that</w:t>
      </w:r>
      <w:r>
        <w:t xml:space="preserve"> </w:t>
      </w:r>
      <w:r>
        <w:t xml:space="preserve">it has assessed to be evidence of non-human intelligence;</w:t>
      </w:r>
    </w:p>
    <w:p>
      <w:pPr>
        <w:pStyle w:val="BodyText"/>
        <w:spacing w:lineRule="exact" w:line="480" w:before="0" w:after="0"/>
        <w:ind w:left="720" w:firstLine="720"/>
        <w:jc w:val="both"/>
      </w:pPr>
      <w:r>
        <w:t xml:space="preserve">(3) whether any element of the Federal Government has assessed that non-human intelligence exists or</w:t>
      </w:r>
      <w:r>
        <w:t xml:space="preserve"> </w:t>
      </w:r>
      <w:r>
        <w:t xml:space="preserve">has interacted with the Earth;</w:t>
      </w:r>
    </w:p>
    <w:p>
      <w:pPr>
        <w:pStyle w:val="BodyText"/>
        <w:spacing w:lineRule="exact" w:line="480" w:before="0" w:after="0"/>
        <w:ind w:left="720" w:firstLine="720"/>
        <w:jc w:val="both"/>
      </w:pPr>
      <w:r>
        <w:t xml:space="preserve">(4) the dates on which each such assessment was first made, and the departments, agencies, and</w:t>
      </w:r>
      <w:r>
        <w:t xml:space="preserve"> </w:t>
      </w:r>
      <w:r>
        <w:t xml:space="preserve">contractors that participated; and</w:t>
      </w:r>
    </w:p>
    <w:p>
      <w:pPr>
        <w:pStyle w:val="BodyText"/>
        <w:spacing w:lineRule="exact" w:line="480" w:before="0" w:after="0"/>
        <w:ind w:left="720" w:firstLine="720"/>
        <w:jc w:val="both"/>
      </w:pPr>
      <w:r>
        <w:t xml:space="preserve">(5) the confidence level of each assessment and the categories of evidence on which it rests.</w:t>
      </w:r>
    </w:p>
    <w:p>
      <w:pPr>
        <w:pStyle w:val="BodyText"/>
        <w:spacing w:lineRule="exact" w:line="480" w:before="0" w:after="0"/>
        <w:ind w:left="0" w:firstLine="720"/>
        <w:jc w:val="both"/>
      </w:pPr>
      <w:r>
        <w:t xml:space="preserve">(c)</w:t>
      </w:r>
      <w:r>
        <w:t xml:space="preserve"> </w:t>
      </w:r>
      <w:r>
        <w:rPr>
          <w:bCs/>
          <w:rFonts w:ascii="Century Schoolbook" w:hAnsi="Century Schoolbook" w:cs="Century Schoolbook" w:eastAsia="Century Schoolbook"/>
          <w:b w:val="0"/>
          <w:smallCaps/>
          <w:sz w:val="24"/>
        </w:rPr>
        <w:t>FORM.—</w:t>
      </w:r>
      <w:r/>
      <w:r>
        <w:t xml:space="preserve">The report shall be unclassified with respect to the answers required by paragraphs (1)</w:t>
      </w:r>
      <w:r>
        <w:t xml:space="preserve"> </w:t>
      </w:r>
      <w:r>
        <w:t xml:space="preserve">through (3) of subsection (b) and may include a classified annex for the information required by</w:t>
      </w:r>
      <w:r>
        <w:t xml:space="preserve"> </w:t>
      </w:r>
      <w:r>
        <w:t xml:space="preserve">paragraphs (4) and (5).</w:t>
      </w:r>
    </w:p>
    <w:p>
      <w:pPr>
        <w:pStyle w:val="BodyText"/>
        <w:spacing w:lineRule="exact" w:line="480" w:before="0" w:after="0"/>
        <w:ind w:left="0" w:firstLine="720"/>
        <w:jc w:val="both"/>
      </w:pPr>
      <w:r>
        <w:t xml:space="preserve">(d)</w:t>
      </w:r>
      <w:r>
        <w:t xml:space="preserve"> </w:t>
      </w:r>
      <w:r>
        <w:rPr>
          <w:bCs/>
          <w:rFonts w:ascii="Century Schoolbook" w:hAnsi="Century Schoolbook" w:cs="Century Schoolbook" w:eastAsia="Century Schoolbook"/>
          <w:b w:val="0"/>
          <w:smallCaps/>
          <w:sz w:val="24"/>
        </w:rPr>
        <w:t>NO WITHHOLDING OF ANSWERS.—</w:t>
      </w:r>
      <w:r/>
      <w:r>
        <w:t xml:space="preserve">The answers required by paragraphs (1) through (3) of subsection (b)</w:t>
      </w:r>
      <w:r>
        <w:t xml:space="preserve"> </w:t>
      </w:r>
      <w:r>
        <w:t xml:space="preserve">may not be withheld, postponed, or stated in a form that neither confirms nor denies, notwithstanding</w:t>
      </w:r>
      <w:r>
        <w:t xml:space="preserve"> </w:t>
      </w:r>
      <w:r>
        <w:t xml:space="preserve">any other provision of law, Executive order, or common law doctrine.</w:t>
      </w:r>
    </w:p>
    <w:p>
      <w:pPr>
        <w:pStyle w:val="BodyText"/>
        <w:spacing w:lineRule="exact" w:line="480" w:before="0" w:after="0"/>
        <w:ind w:left="0" w:firstLine="720"/>
        <w:jc w:val="both"/>
      </w:pPr>
      <w:r>
        <w:t xml:space="preserve">(e)</w:t>
      </w:r>
      <w:r>
        <w:t xml:space="preserve"> </w:t>
      </w:r>
      <w:r>
        <w:rPr>
          <w:bCs/>
          <w:rFonts w:ascii="Century Schoolbook" w:hAnsi="Century Schoolbook" w:cs="Century Schoolbook" w:eastAsia="Century Schoolbook"/>
          <w:b w:val="0"/>
          <w:smallCaps/>
          <w:sz w:val="24"/>
        </w:rPr>
        <w:t>CERTIFICATION AND INDEPENDENT REVIEW.—</w:t>
      </w:r>
      <w:r/>
      <w:r>
        <w:t xml:space="preserve">The report shall be accompanied by—</w:t>
      </w:r>
    </w:p>
    <w:p>
      <w:pPr>
        <w:pStyle w:val="BodyText"/>
        <w:spacing w:lineRule="exact" w:line="480" w:before="0" w:after="0"/>
        <w:ind w:left="720" w:firstLine="720"/>
        <w:jc w:val="both"/>
      </w:pPr>
      <w:r>
        <w:t xml:space="preserve">(1) a certification by the Director of National Intelligence and the Secretary of War that each</w:t>
      </w:r>
      <w:r>
        <w:t xml:space="preserve"> </w:t>
      </w:r>
      <w:r>
        <w:t xml:space="preserve">element of the intelligence community and each component of the Department of War has searched for</w:t>
      </w:r>
      <w:r>
        <w:t xml:space="preserve"> </w:t>
      </w:r>
      <w:r>
        <w:t xml:space="preserve">and reported all relevant information, including information held in special access programs,</w:t>
      </w:r>
      <w:r>
        <w:t xml:space="preserve"> </w:t>
      </w:r>
      <w:r>
        <w:t xml:space="preserve">controlled access programs, and by contractors; and</w:t>
      </w:r>
    </w:p>
    <w:p>
      <w:pPr>
        <w:pStyle w:val="BodyText"/>
        <w:spacing w:lineRule="exact" w:line="480" w:before="0" w:after="0"/>
        <w:ind w:left="720" w:firstLine="720"/>
        <w:jc w:val="both"/>
      </w:pPr>
      <w:r>
        <w:t xml:space="preserve">(2) a written assessment of the completeness and accuracy of the report by [the Unidentified Anomalous</w:t>
      </w:r>
      <w:r>
        <w:t xml:space="preserve"> </w:t>
      </w:r>
      <w:r>
        <w:t xml:space="preserve">Phenomena Records Review Board / the Inspector General of the Intelligence Community], which shall</w:t>
      </w:r>
      <w:r>
        <w:t xml:space="preserve"> </w:t>
      </w:r>
      <w:r>
        <w:t xml:space="preserve">be submitted to Congress and published in unclassified form.</w:t>
      </w:r>
    </w:p>
    <w:p>
      <w:pPr>
        <w:pStyle w:val="BodyText"/>
        <w:spacing w:lineRule="exact" w:line="480" w:before="0" w:after="0"/>
        <w:ind w:left="0" w:firstLine="720"/>
        <w:jc w:val="both"/>
      </w:pPr>
      <w:r>
        <w:t xml:space="preserve">(f)</w:t>
      </w:r>
      <w:r>
        <w:t xml:space="preserve"> </w:t>
      </w:r>
      <w:r>
        <w:rPr>
          <w:bCs/>
          <w:rFonts w:ascii="Century Schoolbook" w:hAnsi="Century Schoolbook" w:cs="Century Schoolbook" w:eastAsia="Century Schoolbook"/>
          <w:b w:val="0"/>
          <w:smallCaps/>
          <w:sz w:val="24"/>
        </w:rPr>
        <w:t>UPDATES.—</w:t>
      </w:r>
      <w:r/>
      <w:r>
        <w:t xml:space="preserve">The President shall update the report not later than 30 days after any element of the</w:t>
      </w:r>
      <w:r>
        <w:t xml:space="preserve"> </w:t>
      </w:r>
      <w:r>
        <w:t xml:space="preserve">Federal Government makes a new assessment of a kind described in subsection (b).</w:t>
      </w:r>
    </w:p>
    <w:p>
      <w:pPr>
        <w:pStyle w:val="BodyText"/>
        <w:spacing w:lineRule="exact" w:line="480" w:before="0" w:after="0"/>
        <w:ind w:left="0" w:firstLine="720"/>
        <w:jc w:val="both"/>
      </w:pPr>
      <w:r>
        <w:t xml:space="preserve">(g)</w:t>
      </w:r>
      <w:r>
        <w:t xml:space="preserve"> </w:t>
      </w:r>
      <w:r>
        <w:rPr>
          <w:bCs/>
          <w:rFonts w:ascii="Century Schoolbook" w:hAnsi="Century Schoolbook" w:cs="Century Schoolbook" w:eastAsia="Century Schoolbook"/>
          <w:b w:val="0"/>
          <w:smallCaps/>
          <w:sz w:val="24"/>
        </w:rPr>
        <w:t>ENFORCEMENT.—</w:t>
      </w:r>
      <w:r/>
      <w:r>
        <w:t xml:space="preserve">Any person may bring a civil action in the United States District Court for the</w:t>
      </w:r>
      <w:r>
        <w:t xml:space="preserve"> </w:t>
      </w:r>
      <w:r>
        <w:t xml:space="preserve">District of Columbia to compel publication of a report or update required by this section that has not</w:t>
      </w:r>
      <w:r>
        <w:t xml:space="preserve"> </w:t>
      </w:r>
      <w:r>
        <w:t xml:space="preserve">been published by the required date. The court shall have jurisdiction to order publication and to</w:t>
      </w:r>
      <w:r>
        <w:t xml:space="preserve"> </w:t>
      </w:r>
      <w:r>
        <w:t xml:space="preserve">award costs and reasonable attorney fees to a prevailing plaintiff.</w:t>
      </w:r>
    </w:p>
    <w:p>
      <w:pPr>
        <w:pStyle w:val="BodyText"/>
        <w:spacing w:lineRule="exact" w:line="480" w:before="0" w:after="0"/>
        <w:ind w:left="0" w:firstLine="720"/>
        <w:jc w:val="both"/>
      </w:pPr>
      <w:r>
        <w:t xml:space="preserve">(h)</w:t>
      </w:r>
      <w:r>
        <w:t xml:space="preserve"> </w:t>
      </w:r>
      <w:r>
        <w:rPr>
          <w:bCs/>
          <w:rFonts w:ascii="Century Schoolbook" w:hAnsi="Century Schoolbook" w:cs="Century Schoolbook" w:eastAsia="Century Schoolbook"/>
          <w:b w:val="0"/>
          <w:smallCaps/>
          <w:sz w:val="24"/>
        </w:rPr>
        <w:t>PROTECTION OF WITNESSES.—</w:t>
      </w:r>
      <w:r/>
      <w:r>
        <w:t xml:space="preserve">Any individual who provides information for purposes of this section to</w:t>
      </w:r>
      <w:r>
        <w:t xml:space="preserve"> </w:t>
      </w:r>
      <w:r>
        <w:t xml:space="preserve">the official or body conducting the review under subsection (e)(2) shall be afforded the protections of</w:t>
      </w:r>
      <w:r>
        <w:t xml:space="preserve"> </w:t>
      </w:r>
      <w:r>
        <w:t xml:space="preserve">section 1673(b) of the James M. Inhofe National Defense Authorization Act for Fiscal Year 2023 (50 U.S.C.</w:t>
      </w:r>
      <w:r>
        <w:t xml:space="preserve"> </w:t>
      </w:r>
      <w:r>
        <w:t xml:space="preserve">3373b(b)).</w:t>
      </w:r>
    </w:p>
    <w:p>
      <w:pPr>
        <w:pStyle w:val="BodyText"/>
        <w:spacing w:lineRule="exact" w:line="480" w:before="0" w:after="0"/>
        <w:ind w:left="0" w:firstLine="720"/>
        <w:jc w:val="both"/>
      </w:pPr>
      <w:r>
        <w:t xml:space="preserve">(i)</w:t>
      </w:r>
      <w:r>
        <w:t xml:space="preserve"> </w:t>
      </w:r>
      <w:r>
        <w:rPr>
          <w:bCs/>
          <w:rFonts w:ascii="Century Schoolbook" w:hAnsi="Century Schoolbook" w:cs="Century Schoolbook" w:eastAsia="Century Schoolbook"/>
          <w:b w:val="0"/>
          <w:smallCaps/>
          <w:sz w:val="24"/>
        </w:rPr>
        <w:t>INTERNATIONAL NOTIFICATION.—</w:t>
      </w:r>
      <w:r/>
      <w:r>
        <w:t xml:space="preserve">Not later than 30 days after publication of a report that answers</w:t>
      </w:r>
      <w:r>
        <w:t xml:space="preserve"> </w:t>
      </w:r>
      <w:r>
        <w:t xml:space="preserve">any question in subsection (b)(1) through (3) in the affirmative, the Secretary of State shall transmit</w:t>
      </w:r>
      <w:r>
        <w:t xml:space="preserve"> </w:t>
      </w:r>
      <w:r>
        <w:t xml:space="preserve">the unclassified report to the Secretary-General of the United Nations, consistent with articles V and</w:t>
      </w:r>
      <w:r>
        <w:t xml:space="preserve"> </w:t>
      </w:r>
      <w:r>
        <w:t xml:space="preserve">XI of the Treaty on Principles Governing the Activities of States in the Exploration and Use of Outer</w:t>
      </w:r>
      <w:r>
        <w:t xml:space="preserve"> </w:t>
      </w:r>
      <w:r>
        <w:t xml:space="preserve">Space, including the Moon and Other Celestial Bodies.</w:t>
      </w:r>
    </w:p>
    <w:p>
      <w:pPr>
        <w:pStyle w:val="BodyText"/>
        <w:spacing w:lineRule="exact" w:line="480" w:before="0" w:after="0"/>
        <w:ind w:left="0" w:firstLine="720"/>
        <w:jc w:val="both"/>
      </w:pPr>
      <w:r>
        <w:t xml:space="preserve">(j)</w:t>
      </w:r>
      <w:r>
        <w:t xml:space="preserve"> </w:t>
      </w:r>
      <w:r>
        <w:rPr>
          <w:bCs/>
          <w:rFonts w:ascii="Century Schoolbook" w:hAnsi="Century Schoolbook" w:cs="Century Schoolbook" w:eastAsia="Century Schoolbook"/>
          <w:b w:val="0"/>
          <w:smallCaps/>
          <w:sz w:val="24"/>
        </w:rPr>
        <w:t>DEFINITIONS.—</w:t>
      </w:r>
      <w:r/>
      <w:r>
        <w:t xml:space="preserve">In this section:</w:t>
      </w:r>
    </w:p>
    <w:p>
      <w:pPr>
        <w:pStyle w:val="BodyText"/>
        <w:spacing w:lineRule="exact" w:line="480" w:before="0" w:after="0"/>
        <w:ind w:left="720" w:firstLine="720"/>
        <w:jc w:val="both"/>
      </w:pPr>
      <w:r>
        <w:t xml:space="preserve">(1) The term</w:t>
      </w:r>
      <w:r>
        <w:t xml:space="preserve"> </w:t>
      </w:r>
      <w:r>
        <w:t xml:space="preserve">“</w:t>
      </w:r>
      <w:r>
        <w:t xml:space="preserve">non-human intelligence</w:t>
      </w:r>
      <w:r>
        <w:t xml:space="preserve">”</w:t>
      </w:r>
      <w:r>
        <w:t xml:space="preserve"> </w:t>
      </w:r>
      <w:r>
        <w:t xml:space="preserve">means any sentient intelligent non-human lifeform regardless of nature or</w:t>
      </w:r>
      <w:r>
        <w:t xml:space="preserve"> </w:t>
      </w:r>
      <w:r>
        <w:t xml:space="preserve">ultimate origin that may be presumed responsible for unidentified anomalous phenomena or of which the Federal</w:t>
      </w:r>
      <w:r>
        <w:t xml:space="preserve"> </w:t>
      </w:r>
      <w:r>
        <w:t xml:space="preserve">Government has become aware.</w:t>
      </w:r>
    </w:p>
    <w:p>
      <w:pPr>
        <w:pStyle w:val="BodyText"/>
        <w:spacing w:lineRule="exact" w:line="480" w:before="0" w:after="0"/>
        <w:ind w:left="720" w:firstLine="720"/>
        <w:jc w:val="both"/>
      </w:pPr>
      <w:r>
        <w:t xml:space="preserve">(2) The term</w:t>
      </w:r>
      <w:r>
        <w:t xml:space="preserve"> </w:t>
      </w:r>
      <w:r>
        <w:t xml:space="preserve">“</w:t>
      </w:r>
      <w:r>
        <w:t xml:space="preserve">technologies of unknown origin</w:t>
      </w:r>
      <w:r>
        <w:t xml:space="preserve">”</w:t>
      </w:r>
      <w:r>
        <w:t xml:space="preserve"> </w:t>
      </w:r>
      <w:r>
        <w:t xml:space="preserve">means any materials or meta-materials, ejecta, crash debris,</w:t>
      </w:r>
      <w:r>
        <w:t xml:space="preserve"> </w:t>
      </w:r>
      <w:r>
        <w:t xml:space="preserve">mechanisms, machinery, equipment, assemblies or sub-assemblies, engineering models or processes, damaged or intact</w:t>
      </w:r>
      <w:r>
        <w:t xml:space="preserve"> </w:t>
      </w:r>
      <w:r>
        <w:t xml:space="preserve">aerospace vehicles, and damaged or intact ocean-surface and undersea craft associated with unidentified anomalous</w:t>
      </w:r>
      <w:r>
        <w:t xml:space="preserve"> </w:t>
      </w:r>
      <w:r>
        <w:t xml:space="preserve">phenomena or incorporating science and technology that lacks prosaic attribution or known means of human</w:t>
      </w:r>
      <w:r>
        <w:t xml:space="preserve"> </w:t>
      </w:r>
      <w:r>
        <w:t xml:space="preserve">manufacture.</w:t>
      </w:r>
    </w:p>
    <w:p>
      <w:pPr>
        <w:pStyle w:val="BodyText"/>
        <w:spacing w:lineRule="exact" w:line="480" w:before="0" w:after="0"/>
        <w:ind w:left="720" w:firstLine="720"/>
        <w:jc w:val="both"/>
      </w:pPr>
      <w:r>
        <w:t xml:space="preserve">(3) The term</w:t>
      </w:r>
      <w:r>
        <w:t xml:space="preserve"> </w:t>
      </w:r>
      <w:r>
        <w:t xml:space="preserve">“</w:t>
      </w:r>
      <w:r>
        <w:t xml:space="preserve">unidentified anomalous phenomena</w:t>
      </w:r>
      <w:r>
        <w:t xml:space="preserve">”</w:t>
      </w:r>
      <w:r>
        <w:t xml:space="preserve"> </w:t>
      </w:r>
      <w:r>
        <w:t xml:space="preserve">has the meaning given that term in section 3373(n) of title 50,</w:t>
      </w:r>
      <w:r>
        <w:t xml:space="preserve"> </w:t>
      </w:r>
      <w:r>
        <w:t xml:space="preserve">United States Code.</w:t>
      </w:r>
      <w:r>
        <w:t xml:space="preserve"> </w:t>
      </w:r>
      <w:r>
        <w:t xml:space="preserve">(If the UAP Disclosure Act is enacted, substitute a cross-reference to its definitions.)</w:t>
      </w:r>
    </w:p>
    <w:p>
      <w:pPr>
        <w:pStyle w:val="BodyText"/>
        <w:spacing w:lineRule="exact" w:line="480" w:before="0" w:after="0"/>
        <w:ind w:left="0" w:firstLine="720"/>
        <w:jc w:val="both"/>
      </w:pPr>
      <w:r>
        <w:t xml:space="preserve">(k)</w:t>
      </w:r>
      <w:r>
        <w:t xml:space="preserve"> </w:t>
      </w:r>
      <w:r>
        <w:rPr>
          <w:bCs/>
          <w:rFonts w:ascii="Century Schoolbook" w:hAnsi="Century Schoolbook" w:cs="Century Schoolbook" w:eastAsia="Century Schoolbook"/>
          <w:b w:val="0"/>
          <w:smallCaps/>
          <w:sz w:val="24"/>
        </w:rPr>
        <w:t>SEVERABILITY.—</w:t>
      </w:r>
      <w:r/>
      <w:r>
        <w:t xml:space="preserve">If any provision of this section, or its application to any person or circumstance, is held</w:t>
      </w:r>
      <w:r>
        <w:t xml:space="preserve"> </w:t>
      </w:r>
      <w:r>
        <w:t xml:space="preserve">invalid, the remainder of the section and its application to other persons or circumstances shall not be</w:t>
      </w:r>
      <w:r>
        <w:t xml:space="preserve"> </w:t>
      </w:r>
      <w:r>
        <w:t xml:space="preserve">affected. If subsection (d) is held invalid as applied to particular information, the President shall report the</w:t>
      </w:r>
      <w:r>
        <w:t xml:space="preserve"> </w:t>
      </w:r>
      <w:r>
        <w:t xml:space="preserve">remaining information required by subsection (b) and shall state in the unclassified report that information has</w:t>
      </w:r>
      <w:r>
        <w:t xml:space="preserve"> </w:t>
      </w:r>
      <w:r>
        <w:t xml:space="preserve">been withheld under a claim of constitutional authority.</w:t>
      </w:r>
    </w:p>
    <w:p>
      <w:pPr>
        <w:pStyle w:val="BodyText"/>
        <w:suppressLineNumbers/>
        <w:spacing w:lineRule="exact" w:line="40" w:before="0" w:after="0"/>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pPr>
    </w:p>
    <w:bookmarkStart w:id="24" w:name="drafting-notes"/>
    <w:p>
      <w:pPr>
        <w:pStyle w:val="Heading2"/>
        <w:suppressLineNumbers/>
      </w:pPr>
      <w:r>
        <w:t xml:space="preserve">Drafting notes</w:t>
      </w:r>
    </w:p>
    <w:p>
      <w:pPr>
        <w:numPr>
          <w:ilvl w:val="0"/>
          <w:numId w:val="1001"/>
        </w:numPr>
        <w:suppressLineNumbers/>
      </w:pPr>
      <w:r>
        <w:t xml:space="preserve">Subsection (d) answers the expected Glomar posture by statute. Expect an Article II objection; the</w:t>
      </w:r>
      <w:r>
        <w:t xml:space="preserve"> </w:t>
      </w:r>
      <w:r>
        <w:t xml:space="preserve">strongest support is Congress’s power to legislate on information it has itself required agencies to</w:t>
      </w:r>
      <w:r>
        <w:t xml:space="preserve"> </w:t>
      </w:r>
      <w:r>
        <w:t xml:space="preserve">collect and on appropriations (</w:t>
      </w:r>
      <w:hyperlink r:id="rId21">
        <w:r>
          <w:rPr>
            <w:rStyle w:val="Hyperlink"/>
          </w:rPr>
          <w:t xml:space="preserve">Issue A2</w:t>
        </w:r>
      </w:hyperlink>
      <w:r>
        <w:t xml:space="preserve">).</w:t>
      </w:r>
    </w:p>
    <w:p>
      <w:pPr>
        <w:numPr>
          <w:ilvl w:val="0"/>
          <w:numId w:val="1001"/>
        </w:numPr>
        <w:suppressLineNumbers/>
      </w:pPr>
      <w:r>
        <w:t xml:space="preserve">Subsection (g) creates a narrow cause of action that avoids the APA limits identified in the JFK Act</w:t>
      </w:r>
      <w:r>
        <w:t xml:space="preserve"> </w:t>
      </w:r>
      <w:r>
        <w:t xml:space="preserve">litigation (</w:t>
      </w:r>
      <w:hyperlink r:id="rId22">
        <w:r>
          <w:rPr>
            <w:rStyle w:val="Hyperlink"/>
          </w:rPr>
          <w:t xml:space="preserve">Issue A3</w:t>
        </w:r>
      </w:hyperlink>
      <w:r>
        <w:t xml:space="preserve">).</w:t>
      </w:r>
    </w:p>
    <w:p>
      <w:pPr>
        <w:numPr>
          <w:ilvl w:val="0"/>
          <w:numId w:val="1001"/>
        </w:numPr>
        <w:suppressLineNumbers/>
      </w:pPr>
      <w:r>
        <w:t xml:space="preserve">Definitions (j)(1)-(2) are taken from section 1773 of H.R. 8800 (119th Cong.) as passed by the House.</w:t>
      </w:r>
    </w:p>
    <w:p>
      <w:pPr>
        <w:numPr>
          <w:ilvl w:val="0"/>
          <w:numId w:val="1001"/>
        </w:numPr>
        <w:suppressLineNumbers/>
      </w:pPr>
      <w:r>
        <w:rPr>
          <w:bCs/>
          <w:b/>
        </w:rPr>
        <w:t xml:space="preserve">State-law variant.</w:t>
      </w:r>
      <w:r>
        <w:t xml:space="preserve"> </w:t>
      </w:r>
      <w:r>
        <w:t xml:space="preserve">A state legislature could adapt subsections (b) through (g) for state agencies (state</w:t>
      </w:r>
      <w:r>
        <w:t xml:space="preserve"> </w:t>
      </w:r>
      <w:r>
        <w:t xml:space="preserve">police, aviation, emergency management, National Guard in state status). Sample core provision:</w:t>
      </w:r>
    </w:p>
    <w:p>
      <w:pPr>
        <w:pStyle w:val="Compact"/>
        <w:numPr>
          <w:ilvl w:val="0"/>
          <w:numId w:val="1000"/>
        </w:numPr>
        <w:suppressLineNumbers/>
      </w:pPr>
      <w:r>
        <w:t xml:space="preserve">(a) Not later than [date], the head of each state agency shall report to the Legislature and publish on the</w:t>
      </w:r>
      <w:r>
        <w:t xml:space="preserve"> </w:t>
      </w:r>
      <w:r>
        <w:t xml:space="preserve">agency’s website a statement of whether the agency holds records of, or has information concerning,</w:t>
      </w:r>
      <w:r>
        <w:t xml:space="preserve"> </w:t>
      </w:r>
      <w:r>
        <w:t xml:space="preserve">unidentified anomalous phenomena or non-human intelligence, with a description of each category of record.</w:t>
      </w:r>
    </w:p>
    <w:p>
      <w:pPr>
        <w:pStyle w:val="Compact"/>
        <w:numPr>
          <w:ilvl w:val="0"/>
          <w:numId w:val="1000"/>
        </w:numPr>
        <w:suppressLineNumbers/>
      </w:pPr>
      <w:r>
        <w:t xml:space="preserve">(b) A report under subsection (a) may omit information the agency is prohibited from disclosing by federal law,</w:t>
      </w:r>
      <w:r>
        <w:t xml:space="preserve"> </w:t>
      </w:r>
      <w:r>
        <w:t xml:space="preserve">but shall identify the federal law relied on and the number of records affected.</w:t>
      </w:r>
    </w:p>
    <w:p>
      <w:pPr>
        <w:pStyle w:val="BlockText"/>
        <w:numPr>
          <w:ilvl w:val="0"/>
          <w:numId w:val="1000"/>
        </w:numPr>
        <w:suppressLineNumbers/>
      </w:pPr>
      <w:r>
        <w:t xml:space="preserve">(c) Any resident of the State may bring an action in [superior court] to compel a report required by this</w:t>
      </w:r>
      <w:r>
        <w:t xml:space="preserve"> </w:t>
      </w:r>
      <w:r>
        <w:t xml:space="preserve">section, and a prevailing plaintiff shall recover costs and reasonable attorney fees.</w:t>
      </w:r>
    </w:p>
    <w:p>
      <w:pPr>
        <w:numPr>
          <w:ilvl w:val="0"/>
          <w:numId w:val="1000"/>
        </w:numPr>
        <w:suppressLineNumbers/>
      </w:pPr>
      <w:r>
        <w:t xml:space="preserve">Subsection (b) of the variant keeps the state statute clear of federal preemption and Supremacy Clause objections</w:t>
      </w:r>
      <w:r>
        <w:t xml:space="preserve"> </w:t>
      </w:r>
      <w:r>
        <w:t xml:space="preserve">for information held under federal classification (</w:t>
      </w:r>
      <w:hyperlink r:id="rId23">
        <w:r>
          <w:rPr>
            <w:rStyle w:val="Hyperlink"/>
          </w:rPr>
          <w:t xml:space="preserve">Issue A4</w:t>
        </w:r>
      </w:hyperlink>
      <w:r>
        <w:t xml:space="preserve"> </w:t>
      </w:r>
      <w:r>
        <w:t xml:space="preserve">§4).</w:t>
      </w:r>
    </w:p>
    <w:bookmarkEnd w:id="24"/>
    <w:bookmarkEnd w:id="25"/>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Century Schoolbook" w:hAnsi="Century Schoolbook" w:cs="Century Schoolbook" w:eastAsia="Century Schoolbook"/>
        <w:i/>
        <w:sz w:val="16"/>
      </w:rPr>
      <w:t>[H.R.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Century Schoolbook" w:hAnsi="Century Schoolbook" w:cs="Century Schoolbook" w:eastAsia="Century Schoolbook"/>
        <w:sz w:val="22"/>
      </w:rPr>
      <w:fldChar w:fldCharType="begin"/>
    </w:r>
    <w:r>
      <w:rPr>
        <w:rFonts w:ascii="Century Schoolbook" w:hAnsi="Century Schoolbook" w:cs="Century Schoolbook" w:eastAsia="Century Schoolbook"/>
        <w:sz w:val="22"/>
      </w:rPr>
      <w:instrText xml:space="preserve"> PAGE </w:instrText>
    </w:r>
    <w:r>
      <w:rPr>
        <w:rFonts w:ascii="Century Schoolbook" w:hAnsi="Century Schoolbook" w:cs="Century Schoolbook" w:eastAsia="Century Schoolbook"/>
        <w:sz w:val="22"/>
      </w:rPr>
      <w:fldChar w:fldCharType="separate"/>
    </w:r>
    <w:r>
      <w:rPr>
        <w:rFonts w:ascii="Century Schoolbook" w:hAnsi="Century Schoolbook" w:cs="Century Schoolbook" w:eastAsia="Century Schoolbook"/>
        <w:sz w:val="22"/>
      </w:rPr>
      <w:t>1</w:t>
    </w:r>
    <w:r>
      <w:rPr>
        <w:rFonts w:ascii="Century Schoolbook" w:hAnsi="Century Schoolbook" w:cs="Century Schoolbook" w:eastAsia="Century Schoolbook"/>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Century Schoolbook" w:cs="Century Schoolbook" w:eastAsia="Century Schoolbook" w:hAnsi="Century Schoolbook"/>
      <w:color w:val="000000"/>
      <w:sz w:val="24"/>
    </w:rPr>
  </w:style>
  <w:style w:styleId="BodyText" w:type="paragraph">
    <w:name w:val="Body Text"/>
    <w:basedOn w:val="Normal"/>
    <w:link w:val="BodyTextChar"/>
    <w:pPr>
      <w:spacing w:after="0" w:before="0" w:line="240" w:lineRule="auto"/>
    </w:pPr>
    <w:qFormat/>
    <w:rPr>
      <w:rFonts w:ascii="Century Schoolbook" w:cs="Century Schoolbook" w:eastAsia="Century Schoolbook" w:hAnsi="Century Schoolbook"/>
      <w:color w:val="000000"/>
      <w:sz w:val="24"/>
    </w:rPr>
  </w:style>
  <w:style w:customStyle="1" w:styleId="FirstParagraph" w:type="paragraph">
    <w:name w:val="First Paragraph"/>
    <w:basedOn w:val="BodyText"/>
    <w:next w:val="BodyText"/>
    <w:qFormat/>
    <w:pPr>
      <w:spacing w:after="0" w:before="0" w:line="240" w:lineRule="auto"/>
    </w:pPr>
    <w:rPr>
      <w:rFonts w:ascii="Century Schoolbook" w:cs="Century Schoolbook" w:eastAsia="Century Schoolbook" w:hAnsi="Century Schoolbook"/>
      <w:color w:val="000000"/>
      <w:sz w:val="24"/>
    </w:rPr>
  </w:style>
  <w:style w:customStyle="1" w:styleId="Compact" w:type="paragraph">
    <w:name w:val="Compact"/>
    <w:basedOn w:val="BodyText"/>
    <w:qFormat/>
    <w:pPr>
      <w:spacing w:after="0" w:before="0" w:line="240" w:lineRule="auto"/>
    </w:pPr>
    <w:rPr>
      <w:rFonts w:ascii="Century Schoolbook" w:cs="Century Schoolbook" w:eastAsia="Century Schoolbook" w:hAnsi="Century Schoolbook"/>
      <w:color w:val="000000"/>
      <w:sz w:val="24"/>
    </w:rPr>
  </w:style>
  <w:style w:styleId="Title" w:type="paragraph">
    <w:name w:val="Title"/>
    <w:basedOn w:val="Normal"/>
    <w:next w:val="BodyText"/>
    <w:qFormat/>
    <w:pPr>
      <w:keepNext/>
      <w:keepLines/>
      <w:spacing w:after="160" w:before="480"/>
      <w:jc w:val="left"/>
    </w:pPr>
    <w:rPr>
      <w:rFonts w:ascii="Century Schoolbook" w:cs="Century Schoolbook" w:eastAsia="Century Schoolbook" w:hAnsi="Century Schoolbook"/>
      <w:b/>
      <w:bCs/>
      <w:color w:val="1A2B3C"/>
      <w:sz w:val="40"/>
      <w:szCs w:val="36"/>
    </w:rPr>
  </w:style>
  <w:style w:styleId="Subtitle" w:type="paragraph">
    <w:name w:val="Subtitle"/>
    <w:basedOn w:val="Title"/>
    <w:next w:val="BodyText"/>
    <w:qFormat/>
    <w:pPr>
      <w:keepNext/>
      <w:keepLines/>
      <w:spacing w:after="160" w:before="240"/>
      <w:jc w:val="left"/>
    </w:pPr>
    <w:rPr>
      <w:rFonts w:ascii="Century Schoolbook" w:cs="Century Schoolbook" w:eastAsia="Century Schoolbook" w:hAnsi="Century Schoolbook"/>
      <w:color w:val="1A2B3C"/>
      <w:sz w:val="22"/>
      <w:szCs w:val="30"/>
    </w:rPr>
  </w:style>
  <w:style w:customStyle="1" w:styleId="Author" w:type="paragraph">
    <w:name w:val="Author"/>
    <w:next w:val="BodyText"/>
    <w:qFormat/>
    <w:pPr>
      <w:keepNext/>
      <w:keepLines/>
      <w:jc w:val="center"/>
    </w:pPr>
    <w:rPr>
      <w:rFonts w:ascii="Century Schoolbook" w:cs="Century Schoolbook" w:eastAsia="Century Schoolbook" w:hAnsi="Century Schoolbook"/>
      <w:color w:val="000000"/>
    </w:rPr>
  </w:style>
  <w:style w:styleId="Date" w:type="paragraph">
    <w:name w:val="Date"/>
    <w:next w:val="BodyText"/>
    <w:qFormat/>
    <w:pPr>
      <w:keepNext/>
      <w:keepLines/>
      <w:jc w:val="center"/>
    </w:pPr>
    <w:rPr>
      <w:rFonts w:ascii="Century Schoolbook" w:cs="Century Schoolbook" w:eastAsia="Century Schoolbook" w:hAnsi="Century Schoolbook"/>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entury Schoolbook" w:cs="Century Schoolbook" w:eastAsia="Century Schoolbook" w:hAnsi="Century Schoolbook"/>
      <w:b/>
    </w:rPr>
  </w:style>
  <w:style w:customStyle="1" w:styleId="Abstract" w:type="paragraph">
    <w:name w:val="Abstract"/>
    <w:basedOn w:val="Normal"/>
    <w:next w:val="BodyText"/>
    <w:qFormat/>
    <w:pPr>
      <w:keepNext/>
      <w:keepLines/>
      <w:spacing w:after="300" w:before="100"/>
    </w:pPr>
    <w:rPr>
      <w:rFonts w:ascii="Century Schoolbook" w:cs="Century Schoolbook" w:eastAsia="Century Schoolbook" w:hAnsi="Century Schoolbook"/>
      <w:color w:val="000000"/>
      <w:sz w:val="20"/>
      <w:szCs w:val="20"/>
    </w:rPr>
  </w:style>
  <w:style w:styleId="Bibliography" w:type="paragraph">
    <w:name w:val="Bibliography"/>
    <w:basedOn w:val="Normal"/>
    <w:next w:val="Bibliography"/>
    <w:qFormat/>
    <w:pPr/>
    <w:rPr>
      <w:rFonts w:ascii="Century Schoolbook" w:cs="Century Schoolbook" w:eastAsia="Century Schoolbook" w:hAnsi="Century Schoolbook"/>
      <w:color w:val="000000"/>
    </w:rPr>
  </w:style>
  <w:style w:styleId="Heading1" w:type="paragraph">
    <w:name w:val="Heading 1"/>
    <w:basedOn w:val="Normal"/>
    <w:next w:val="BodyText"/>
    <w:uiPriority w:val="9"/>
    <w:qFormat/>
    <w:pPr>
      <w:keepNext/>
      <w:keepLines/>
      <w:spacing w:after="120" w:before="280"/>
      <w:outlineLvl w:val="0"/>
    </w:pPr>
    <w:rPr>
      <w:rFonts w:ascii="Century Schoolbook" w:cs="Century Schoolbook" w:eastAsia="Century Schoolbook" w:hAnsi="Century Schoolbook"/>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Century Schoolbook" w:cs="Century Schoolbook" w:eastAsia="Century Schoolbook" w:hAnsi="Century Schoolbook"/>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Century Schoolbook" w:cs="Century Schoolbook" w:eastAsia="Century Schoolbook" w:hAnsi="Century Schoolbook"/>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Century Schoolbook" w:cs="Century Schoolbook" w:eastAsia="Century Schoolbook" w:hAnsi="Century Schoolbook"/>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Century Schoolbook" w:cs="Century Schoolbook" w:eastAsia="Century Schoolbook" w:hAnsi="Century Schoolbook"/>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entury Schoolbook" w:cs="Century Schoolbook" w:eastAsia="Century Schoolbook" w:hAnsi="Century Schoolbook"/>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entury Schoolbook" w:cs="Century Schoolbook" w:eastAsia="Century Schoolbook" w:hAnsi="Century Schoolbook"/>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entury Schoolbook" w:cs="Century Schoolbook" w:eastAsia="Century Schoolbook" w:hAnsi="Century Schoolbook"/>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entury Schoolbook" w:cs="Century Schoolbook" w:eastAsia="Century Schoolbook" w:hAnsi="Century Schoolbook"/>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Century Schoolbook" w:cs="Century Schoolbook" w:eastAsia="Century Schoolbook" w:hAnsi="Century Schoolbook"/>
      <w:color w:val="000000"/>
      <w:sz w:val="24"/>
    </w:rPr>
  </w:style>
  <w:style w:styleId="FootnoteText" w:type="paragraph">
    <w:name w:val="Footnote Text"/>
    <w:basedOn w:val="Normal"/>
    <w:next w:val="FootnoteText"/>
    <w:uiPriority w:val="9"/>
    <w:unhideWhenUsed/>
    <w:qFormat/>
    <w:rPr>
      <w:rFonts w:ascii="Century Schoolbook" w:cs="Century Schoolbook" w:eastAsia="Century Schoolbook" w:hAnsi="Century Schoolbook"/>
      <w:color w:val="000000"/>
    </w:rPr>
  </w:style>
  <w:style w:default="1" w:styleId="DefaultParagraphFont" w:type="character">
    <w:name w:val="Default Paragraph Font"/>
    <w:semiHidden/>
    <w:unhideWhenUsed/>
    <w:rPr>
      <w:rFonts w:ascii="Century Schoolbook" w:cs="Century Schoolbook" w:eastAsia="Century Schoolbook" w:hAnsi="Century Schoolbook"/>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entury Schoolbook" w:cs="Century Schoolbook" w:eastAsia="Century Schoolbook" w:hAnsi="Century Schoolbook"/>
      <w:b/>
      <w:color w:val="000000"/>
    </w:rPr>
  </w:style>
  <w:style w:customStyle="1" w:styleId="Definition" w:type="paragraph">
    <w:name w:val="Definition"/>
    <w:basedOn w:val="Normal"/>
    <w:rPr>
      <w:rFonts w:ascii="Century Schoolbook" w:cs="Century Schoolbook" w:eastAsia="Century Schoolbook" w:hAnsi="Century Schoolbook"/>
      <w:color w:val="000000"/>
    </w:rPr>
  </w:style>
  <w:style w:styleId="Caption" w:type="paragraph">
    <w:name w:val="Caption"/>
    <w:basedOn w:val="Normal"/>
    <w:link w:val="BodyTextChar"/>
    <w:pPr>
      <w:spacing w:after="120" w:before="0"/>
    </w:pPr>
    <w:rPr>
      <w:rFonts w:ascii="Century Schoolbook" w:cs="Century Schoolbook" w:eastAsia="Century Schoolbook" w:hAnsi="Century Schoolbook"/>
      <w:i/>
      <w:color w:val="000000"/>
    </w:rPr>
  </w:style>
  <w:style w:customStyle="1" w:styleId="TableCaption" w:type="paragraph">
    <w:name w:val="Table Caption"/>
    <w:basedOn w:val="Caption"/>
    <w:pPr>
      <w:keepNext/>
    </w:pPr>
    <w:rPr>
      <w:rFonts w:ascii="Century Schoolbook" w:cs="Century Schoolbook" w:eastAsia="Century Schoolbook" w:hAnsi="Century Schoolbook"/>
      <w:color w:val="000000"/>
    </w:rPr>
  </w:style>
  <w:style w:customStyle="1" w:styleId="ImageCaption" w:type="paragraph">
    <w:name w:val="Image Caption"/>
    <w:basedOn w:val="Caption"/>
    <w:rPr>
      <w:rFonts w:ascii="Century Schoolbook" w:cs="Century Schoolbook" w:eastAsia="Century Schoolbook" w:hAnsi="Century Schoolbook"/>
      <w:color w:val="000000"/>
    </w:rPr>
  </w:style>
  <w:style w:customStyle="1" w:styleId="Figure" w:type="paragraph">
    <w:name w:val="Figure"/>
    <w:basedOn w:val="Normal"/>
    <w:rPr>
      <w:rFonts w:ascii="Century Schoolbook" w:cs="Century Schoolbook" w:eastAsia="Century Schoolbook" w:hAnsi="Century Schoolbook"/>
      <w:color w:val="000000"/>
    </w:rPr>
  </w:style>
  <w:style w:customStyle="1" w:styleId="CaptionedFigure" w:type="paragraph">
    <w:name w:val="Captioned Figure"/>
    <w:basedOn w:val="Figure"/>
    <w:pPr>
      <w:keepNext/>
    </w:pPr>
    <w:rPr>
      <w:rFonts w:ascii="Century Schoolbook" w:cs="Century Schoolbook" w:eastAsia="Century Schoolbook" w:hAnsi="Century Schoolbook"/>
      <w:color w:val="000000"/>
    </w:rPr>
  </w:style>
  <w:style w:customStyle="1" w:styleId="BodyTextChar" w:type="character">
    <w:name w:val="Body Text Char"/>
    <w:basedOn w:val="DefaultParagraphFont"/>
    <w:link w:val="BodyText"/>
    <w:rPr>
      <w:rFonts w:ascii="Century Schoolbook" w:cs="Century Schoolbook" w:eastAsia="Century Schoolbook" w:hAnsi="Century Schoolbook"/>
      <w:color w:val="000000"/>
    </w:rPr>
  </w:style>
  <w:style w:customStyle="1" w:styleId="VerbatimChar" w:type="character">
    <w:name w:val="Verbatim Char"/>
    <w:basedOn w:val="BodyTextChar"/>
    <w:rPr>
      <w:rFonts w:ascii="Century Schoolbook" w:cs="Century Schoolbook" w:eastAsia="Century Schoolbook" w:hAnsi="Century Schoolbook"/>
      <w:color w:val="000000"/>
      <w:sz w:val="22"/>
    </w:rPr>
  </w:style>
  <w:style w:customStyle="1" w:styleId="SectionNumber" w:type="character">
    <w:name w:val="Section Number"/>
    <w:basedOn w:val="BodyTextChar"/>
    <w:rPr>
      <w:rFonts w:ascii="Century Schoolbook" w:cs="Century Schoolbook" w:eastAsia="Century Schoolbook" w:hAnsi="Century Schoolbook"/>
      <w:color w:val="000000"/>
    </w:rPr>
  </w:style>
  <w:style w:styleId="FootnoteReference" w:type="character">
    <w:name w:val="Footnote Reference"/>
    <w:basedOn w:val="BodyTextChar"/>
    <w:rPr>
      <w:rFonts w:ascii="Century Schoolbook" w:cs="Century Schoolbook" w:eastAsia="Century Schoolbook" w:hAnsi="Century Schoolbook"/>
      <w:color w:val="000000"/>
      <w:vertAlign w:val="superscript"/>
    </w:rPr>
  </w:style>
  <w:style w:styleId="Hyperlink" w:type="character">
    <w:name w:val="Hyperlink"/>
    <w:basedOn w:val="BodyTextChar"/>
    <w:rPr>
      <w:rFonts w:ascii="Century Schoolbook" w:cs="Century Schoolbook" w:eastAsia="Century Schoolbook" w:hAnsi="Century Schoolbook"/>
      <w:color w:val="1F6E6E"/>
    </w:rPr>
  </w:style>
  <w:style w:styleId="TOCHeading" w:type="paragraph">
    <w:name w:val="TOC Heading"/>
    <w:basedOn w:val="Heading1"/>
    <w:next w:val="BodyText"/>
    <w:uiPriority w:val="39"/>
    <w:unhideWhenUsed/>
    <w:qFormat/>
    <w:pPr>
      <w:spacing w:before="240" w:line="259" w:lineRule="auto"/>
      <w:outlineLvl w:val="9"/>
    </w:pPr>
    <w:rPr>
      <w:rFonts w:ascii="Century Schoolbook" w:cs="Century Schoolbook" w:eastAsia="Century Schoolbook" w:hAnsi="Century Schoolbook"/>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b3-1.html" TargetMode="External"/><Relationship Id="rId21" Type="http://schemas.openxmlformats.org/officeDocument/2006/relationships/hyperlink" Target="https://nhilaw.com/issues/a2.html" TargetMode="External"/><Relationship Id="rId22" Type="http://schemas.openxmlformats.org/officeDocument/2006/relationships/hyperlink" Target="https://nhilaw.com/issues/a3.html" TargetMode="External"/><Relationship Id="rId23" Type="http://schemas.openxmlformats.org/officeDocument/2006/relationships/hyperlink" Target="https://nhilaw.com/issues/a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b3-1.html" TargetMode="External"/><Relationship Id="rId21" Type="http://schemas.openxmlformats.org/officeDocument/2006/relationships/hyperlink" Target="https://nhilaw.com/issues/a2.html" TargetMode="External"/><Relationship Id="rId22" Type="http://schemas.openxmlformats.org/officeDocument/2006/relationships/hyperlink" Target="https://nhilaw.com/issues/a3.html" TargetMode="External"/><Relationship Id="rId23" Type="http://schemas.openxmlformats.org/officeDocument/2006/relationships/hyperlink" Target="https://nhilaw.com/issues/a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A4-1. Model Statutory Provision: Affirmative Duty to Report on Non-Human Intelligence</dc:title>
  <dc:creator>nhilaw.com</dc:creator>
  <cp:keywords/>
  <dcterms:created xsi:type="dcterms:W3CDTF">2026-10-19T03:12:04Z</dcterms:created>
  <dcterms:modified xsi:type="dcterms:W3CDTF">2026-10-19T03:12:04Z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