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0" w:name="X5ace01621ab16808a619af41c6feff16a41402a"/>
    <w:p>
      <w:pPr>
        <w:pStyle w:val="Heading1"/>
      </w:pPr>
      <w:r>
        <w:t xml:space="preserve">Form A4-2. State Public-Records Request for UAP Records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https://nhilaw.com/forms/a4-2.html</w:t>
      </w:r>
    </w:p>
    <w:p>
      <w:pPr>
        <w:pStyle w:val="BodyText"/>
        <w:spacing w:after="160" w:line="259" w:lineRule="auto"/>
      </w:pPr>
      <w:r>
        <w:rPr>
          <w:bCs/>
          <w:b/>
        </w:rPr>
        <w:t xml:space="preserve">Use.</w:t>
      </w:r>
      <w:r>
        <w:t xml:space="preserve"> </w:t>
      </w:r>
      <w:r>
        <w:t xml:space="preserve">State and local agencies often hold UAP-related records: 911 and dispatch logs, police</w:t>
      </w:r>
      <w:r>
        <w:t xml:space="preserve"> </w:t>
      </w:r>
      <w:r>
        <w:t xml:space="preserve">incident reports and body-camera video, state aviation and airport records, emergency management</w:t>
      </w:r>
      <w:r>
        <w:t xml:space="preserve"> </w:t>
      </w:r>
      <w:r>
        <w:t xml:space="preserve">notifications, National Guard records created in state status, university research records, and</w:t>
      </w:r>
      <w:r>
        <w:t xml:space="preserve"> </w:t>
      </w:r>
      <w:r>
        <w:t xml:space="preserve">correspondence with federal agencies. These are reachable under state law even when federal records are</w:t>
      </w:r>
      <w:r>
        <w:t xml:space="preserve"> </w:t>
      </w:r>
      <w:r>
        <w:t xml:space="preserve">not.</w:t>
      </w:r>
    </w:p>
    <w:p>
      <w:pPr>
        <w:pStyle w:val="BodyText"/>
        <w:spacing w:after="160" w:line="259" w:lineRule="auto"/>
      </w:pPr>
      <w:r>
        <w:rPr>
          <w:bCs/>
          <w:b/>
        </w:rPr>
        <w:t xml:space="preserve">Statute examples.</w:t>
      </w:r>
      <w:r>
        <w:t xml:space="preserve"> </w:t>
      </w:r>
      <w:r>
        <w:t xml:space="preserve">California Public Records Act, Cal. Gov’t Code §7920.000 et seq. (and Cal. Const.</w:t>
      </w:r>
      <w:r>
        <w:t xml:space="preserve"> </w:t>
      </w:r>
      <w:r>
        <w:t xml:space="preserve">art. I, §3(b)); Florida, Fla. Stat. ch. 119 (and Fla. Const. art. I, §24); New York FOIL, N.Y. Pub. Off.</w:t>
      </w:r>
      <w:r>
        <w:t xml:space="preserve"> </w:t>
      </w:r>
      <w:r>
        <w:t xml:space="preserve">Law §§84-90; Texas Public Information Act, Tex. Gov’t Code ch. 552; Montana, Mont. Code Ann. §2-6-1001 et</w:t>
      </w:r>
      <w:r>
        <w:t xml:space="preserve"> </w:t>
      </w:r>
      <w:r>
        <w:t xml:space="preserve">seq. (and Mont. Const. art. II, §9); Arizona, A.R.S. §39-121 et seq. The table below covers selected states.</w:t>
      </w:r>
    </w:p>
    <w:tbl>
      <w:tblPr>
        <w:tblStyle w:val="Table"/>
        <w:tblW w:type="pct" w:w="5000"/>
        <w:jc w:val="start"/>
        <w:tblLook w:firstRow="1" w:lastRow="0" w:firstColumn="0" w:lastColumn="0" w:noHBand="0" w:noVBand="0" w:val="0020"/>
      </w:tblPr>
      <w:tblGrid>
        <w:gridCol w:w="1980"/>
        <w:gridCol w:w="1980"/>
        <w:gridCol w:w="1980"/>
        <w:gridCol w:w="1980"/>
      </w:tblGrid>
      <w:tr>
        <w:trPr>
          <w:tblHeader w:val="true"/>
        </w:trPr>
        <w:tc>
          <w:tcPr/>
          <w:p>
            <w:pPr>
              <w:pStyle w:val="Compact"/>
              <w:spacing w:after="160" w:line="259" w:lineRule="auto"/>
              <w:jc w:val="left"/>
            </w:pPr>
            <w:r>
              <w:t xml:space="preserve">State</w:t>
            </w:r>
          </w:p>
        </w:tc>
        <w:tc>
          <w:tcPr/>
          <w:p>
            <w:pPr>
              <w:pStyle w:val="Compact"/>
              <w:spacing w:after="160" w:line="259" w:lineRule="auto"/>
              <w:jc w:val="left"/>
            </w:pPr>
            <w:r>
              <w:t xml:space="preserve">Statute</w:t>
            </w:r>
          </w:p>
        </w:tc>
        <w:tc>
          <w:tcPr/>
          <w:p>
            <w:pPr>
              <w:pStyle w:val="Compact"/>
              <w:spacing w:after="160" w:line="259" w:lineRule="auto"/>
              <w:jc w:val="left"/>
            </w:pPr>
            <w:r>
              <w:t xml:space="preserve">Response period</w:t>
            </w:r>
          </w:p>
        </w:tc>
        <w:tc>
          <w:tcPr/>
          <w:p>
            <w:pPr>
              <w:pStyle w:val="Compact"/>
              <w:spacing w:after="160" w:line="259" w:lineRule="auto"/>
              <w:jc w:val="left"/>
            </w:pPr>
            <w:r>
              <w:t xml:space="preserve">Review of a denial</w:t>
            </w:r>
          </w:p>
        </w:tc>
      </w:tr>
      <w:tr>
        <w:tc>
          <w:tcPr/>
          <w:p>
            <w:pPr>
              <w:pStyle w:val="Compact"/>
              <w:spacing w:after="160" w:line="259" w:lineRule="auto"/>
              <w:jc w:val="left"/>
            </w:pPr>
            <w:r>
              <w:t xml:space="preserve">Arizona</w:t>
            </w:r>
          </w:p>
        </w:tc>
        <w:tc>
          <w:tcPr/>
          <w:p>
            <w:pPr>
              <w:pStyle w:val="Compact"/>
              <w:spacing w:after="160" w:line="259" w:lineRule="auto"/>
              <w:jc w:val="left"/>
            </w:pPr>
            <w:r>
              <w:t xml:space="preserve">A.R.S. §39-121 et seq.</w:t>
            </w:r>
          </w:p>
        </w:tc>
        <w:tc>
          <w:tcPr/>
          <w:p>
            <w:pPr>
              <w:pStyle w:val="Compact"/>
              <w:spacing w:after="160" w:line="259" w:lineRule="auto"/>
              <w:jc w:val="left"/>
            </w:pPr>
            <w:r>
              <w:t xml:space="preserve">“</w:t>
            </w:r>
            <w:r>
              <w:t xml:space="preserve">Promptly</w:t>
            </w:r>
            <w:r>
              <w:t xml:space="preserve">”</w:t>
            </w:r>
            <w:r>
              <w:t xml:space="preserve">; delay is a denial (§39-121.01(E))</w:t>
            </w:r>
          </w:p>
        </w:tc>
        <w:tc>
          <w:tcPr/>
          <w:p>
            <w:pPr>
              <w:pStyle w:val="Compact"/>
              <w:spacing w:after="160" w:line="259" w:lineRule="auto"/>
              <w:jc w:val="left"/>
            </w:pPr>
            <w:r>
              <w:t xml:space="preserve">Special action in superior court (§39-121.02)</w:t>
            </w:r>
          </w:p>
        </w:tc>
      </w:tr>
      <w:tr>
        <w:tc>
          <w:tcPr/>
          <w:p>
            <w:pPr>
              <w:pStyle w:val="Compact"/>
              <w:spacing w:after="160" w:line="259" w:lineRule="auto"/>
              <w:jc w:val="left"/>
            </w:pPr>
            <w:r>
              <w:t xml:space="preserve">California</w:t>
            </w:r>
          </w:p>
        </w:tc>
        <w:tc>
          <w:tcPr/>
          <w:p>
            <w:pPr>
              <w:pStyle w:val="Compact"/>
              <w:spacing w:after="160" w:line="259" w:lineRule="auto"/>
              <w:jc w:val="left"/>
            </w:pPr>
            <w:r>
              <w:t xml:space="preserve">Cal. Gov’t Code §7920.000 et seq.</w:t>
            </w:r>
          </w:p>
        </w:tc>
        <w:tc>
          <w:tcPr/>
          <w:p>
            <w:pPr>
              <w:pStyle w:val="Compact"/>
              <w:spacing w:after="160" w:line="259" w:lineRule="auto"/>
              <w:jc w:val="left"/>
            </w:pPr>
            <w:r>
              <w:t xml:space="preserve">10 days to determine; 14-day extension in unusual circumstances (§7922.535)</w:t>
            </w:r>
          </w:p>
        </w:tc>
        <w:tc>
          <w:tcPr/>
          <w:p>
            <w:pPr>
              <w:pStyle w:val="Compact"/>
              <w:spacing w:after="160" w:line="259" w:lineRule="auto"/>
              <w:jc w:val="left"/>
            </w:pPr>
            <w:r>
              <w:t xml:space="preserve">Petition in superior court (§7923.000)</w:t>
            </w:r>
          </w:p>
        </w:tc>
      </w:tr>
      <w:tr>
        <w:tc>
          <w:tcPr/>
          <w:p>
            <w:pPr>
              <w:pStyle w:val="Compact"/>
              <w:spacing w:after="160" w:line="259" w:lineRule="auto"/>
              <w:jc w:val="left"/>
            </w:pPr>
            <w:r>
              <w:t xml:space="preserve">Colorado</w:t>
            </w:r>
          </w:p>
        </w:tc>
        <w:tc>
          <w:tcPr/>
          <w:p>
            <w:pPr>
              <w:pStyle w:val="Compact"/>
              <w:spacing w:after="160" w:line="259" w:lineRule="auto"/>
              <w:jc w:val="left"/>
            </w:pPr>
            <w:r>
              <w:t xml:space="preserve">C.R.S. §24-72-201 et seq.</w:t>
            </w:r>
          </w:p>
        </w:tc>
        <w:tc>
          <w:tcPr/>
          <w:p>
            <w:pPr>
              <w:pStyle w:val="Compact"/>
              <w:spacing w:after="160" w:line="259" w:lineRule="auto"/>
              <w:jc w:val="left"/>
            </w:pPr>
            <w:r>
              <w:t xml:space="preserve">3 working days; 7-day extension (§24-72-203(3)(b))</w:t>
            </w:r>
          </w:p>
        </w:tc>
        <w:tc>
          <w:tcPr/>
          <w:p>
            <w:pPr>
              <w:pStyle w:val="Compact"/>
              <w:spacing w:after="160" w:line="259" w:lineRule="auto"/>
              <w:jc w:val="left"/>
            </w:pPr>
            <w:r>
              <w:t xml:space="preserve">District court application (§24-72-204(5))</w:t>
            </w:r>
          </w:p>
        </w:tc>
      </w:tr>
      <w:tr>
        <w:tc>
          <w:tcPr/>
          <w:p>
            <w:pPr>
              <w:pStyle w:val="Compact"/>
              <w:spacing w:after="160" w:line="259" w:lineRule="auto"/>
              <w:jc w:val="left"/>
            </w:pPr>
            <w:r>
              <w:t xml:space="preserve">Florida</w:t>
            </w:r>
          </w:p>
        </w:tc>
        <w:tc>
          <w:tcPr/>
          <w:p>
            <w:pPr>
              <w:pStyle w:val="Compact"/>
              <w:spacing w:after="160" w:line="259" w:lineRule="auto"/>
              <w:jc w:val="left"/>
            </w:pPr>
            <w:r>
              <w:t xml:space="preserve">Fla. Stat. ch. 119</w:t>
            </w:r>
          </w:p>
        </w:tc>
        <w:tc>
          <w:tcPr/>
          <w:p>
            <w:pPr>
              <w:pStyle w:val="Compact"/>
              <w:spacing w:after="160" w:line="259" w:lineRule="auto"/>
              <w:jc w:val="left"/>
            </w:pPr>
            <w:r>
              <w:t xml:space="preserve">Prompt acknowledgment, no fixed period (§119.07(1)(c))</w:t>
            </w:r>
          </w:p>
        </w:tc>
        <w:tc>
          <w:tcPr/>
          <w:p>
            <w:pPr>
              <w:pStyle w:val="Compact"/>
              <w:spacing w:after="160" w:line="259" w:lineRule="auto"/>
              <w:jc w:val="left"/>
            </w:pPr>
            <w:r>
              <w:t xml:space="preserve">Civil action with accelerated hearing (§119.11)</w:t>
            </w:r>
          </w:p>
        </w:tc>
      </w:tr>
      <w:tr>
        <w:tc>
          <w:tcPr/>
          <w:p>
            <w:pPr>
              <w:pStyle w:val="Compact"/>
              <w:spacing w:after="160" w:line="259" w:lineRule="auto"/>
              <w:jc w:val="left"/>
            </w:pPr>
            <w:r>
              <w:t xml:space="preserve">Hawaii</w:t>
            </w:r>
          </w:p>
        </w:tc>
        <w:tc>
          <w:tcPr/>
          <w:p>
            <w:pPr>
              <w:pStyle w:val="Compact"/>
              <w:spacing w:after="160" w:line="259" w:lineRule="auto"/>
              <w:jc w:val="left"/>
            </w:pPr>
            <w:r>
              <w:t xml:space="preserve">Haw. Rev. Stat. ch. 92F</w:t>
            </w:r>
          </w:p>
        </w:tc>
        <w:tc>
          <w:tcPr/>
          <w:p>
            <w:pPr>
              <w:pStyle w:val="Compact"/>
              <w:spacing w:after="160" w:line="259" w:lineRule="auto"/>
              <w:jc w:val="left"/>
            </w:pPr>
            <w:r>
              <w:t xml:space="preserve">10 business days (Haw. Admin. R. §2-71-13)</w:t>
            </w:r>
          </w:p>
        </w:tc>
        <w:tc>
          <w:tcPr/>
          <w:p>
            <w:pPr>
              <w:pStyle w:val="Compact"/>
              <w:spacing w:after="160" w:line="259" w:lineRule="auto"/>
              <w:jc w:val="left"/>
            </w:pPr>
            <w:r>
              <w:t xml:space="preserve">Office of Information Practices or circuit court (§92F-15, -15.5)</w:t>
            </w:r>
          </w:p>
        </w:tc>
      </w:tr>
      <w:tr>
        <w:tc>
          <w:tcPr/>
          <w:p>
            <w:pPr>
              <w:pStyle w:val="Compact"/>
              <w:spacing w:after="160" w:line="259" w:lineRule="auto"/>
              <w:jc w:val="left"/>
            </w:pPr>
            <w:r>
              <w:t xml:space="preserve">Illinois</w:t>
            </w:r>
          </w:p>
        </w:tc>
        <w:tc>
          <w:tcPr/>
          <w:p>
            <w:pPr>
              <w:pStyle w:val="Compact"/>
              <w:spacing w:after="160" w:line="259" w:lineRule="auto"/>
              <w:jc w:val="left"/>
            </w:pPr>
            <w:r>
              <w:t xml:space="preserve">5 ILCS 140</w:t>
            </w:r>
          </w:p>
        </w:tc>
        <w:tc>
          <w:tcPr/>
          <w:p>
            <w:pPr>
              <w:pStyle w:val="Compact"/>
              <w:spacing w:after="160" w:line="259" w:lineRule="auto"/>
              <w:jc w:val="left"/>
            </w:pPr>
            <w:r>
              <w:t xml:space="preserve">5 business days; 5-day extension (§3(d), (e))</w:t>
            </w:r>
          </w:p>
        </w:tc>
        <w:tc>
          <w:tcPr/>
          <w:p>
            <w:pPr>
              <w:pStyle w:val="Compact"/>
              <w:spacing w:after="160" w:line="259" w:lineRule="auto"/>
              <w:jc w:val="left"/>
            </w:pPr>
            <w:r>
              <w:t xml:space="preserve">Public Access Counselor within 60 days (§9.5) or circuit court (§11)</w:t>
            </w:r>
          </w:p>
        </w:tc>
      </w:tr>
      <w:tr>
        <w:tc>
          <w:tcPr/>
          <w:p>
            <w:pPr>
              <w:pStyle w:val="Compact"/>
              <w:spacing w:after="160" w:line="259" w:lineRule="auto"/>
              <w:jc w:val="left"/>
            </w:pPr>
            <w:r>
              <w:t xml:space="preserve">Montana</w:t>
            </w:r>
          </w:p>
        </w:tc>
        <w:tc>
          <w:tcPr/>
          <w:p>
            <w:pPr>
              <w:pStyle w:val="Compact"/>
              <w:spacing w:after="160" w:line="259" w:lineRule="auto"/>
              <w:jc w:val="left"/>
            </w:pPr>
            <w:r>
              <w:t xml:space="preserve">Mont. Code Ann. §2-6-1001 et seq.</w:t>
            </w:r>
          </w:p>
        </w:tc>
        <w:tc>
          <w:tcPr/>
          <w:p>
            <w:pPr>
              <w:pStyle w:val="Compact"/>
              <w:spacing w:after="160" w:line="259" w:lineRule="auto"/>
              <w:jc w:val="left"/>
            </w:pPr>
            <w:r>
              <w:t xml:space="preserve">Timely acknowledgment and reasonable time (§2-6-1006)</w:t>
            </w:r>
          </w:p>
        </w:tc>
        <w:tc>
          <w:tcPr/>
          <w:p>
            <w:pPr>
              <w:pStyle w:val="Compact"/>
              <w:spacing w:after="160" w:line="259" w:lineRule="auto"/>
              <w:jc w:val="left"/>
            </w:pPr>
            <w:r>
              <w:t xml:space="preserve">District court (Mont. Const. art. II, §9)</w:t>
            </w:r>
          </w:p>
        </w:tc>
      </w:tr>
      <w:tr>
        <w:tc>
          <w:tcPr/>
          <w:p>
            <w:pPr>
              <w:pStyle w:val="Compact"/>
              <w:spacing w:after="160" w:line="259" w:lineRule="auto"/>
              <w:jc w:val="left"/>
            </w:pPr>
            <w:r>
              <w:t xml:space="preserve">Nevada</w:t>
            </w:r>
          </w:p>
        </w:tc>
        <w:tc>
          <w:tcPr/>
          <w:p>
            <w:pPr>
              <w:pStyle w:val="Compact"/>
              <w:spacing w:after="160" w:line="259" w:lineRule="auto"/>
              <w:jc w:val="left"/>
            </w:pPr>
            <w:r>
              <w:t xml:space="preserve">NRS ch. 239</w:t>
            </w:r>
          </w:p>
        </w:tc>
        <w:tc>
          <w:tcPr/>
          <w:p>
            <w:pPr>
              <w:pStyle w:val="Compact"/>
              <w:spacing w:after="160" w:line="259" w:lineRule="auto"/>
              <w:jc w:val="left"/>
            </w:pPr>
            <w:r>
              <w:t xml:space="preserve">5 business days (NRS 239.0107)</w:t>
            </w:r>
          </w:p>
        </w:tc>
        <w:tc>
          <w:tcPr/>
          <w:p>
            <w:pPr>
              <w:pStyle w:val="Compact"/>
              <w:spacing w:after="160" w:line="259" w:lineRule="auto"/>
              <w:jc w:val="left"/>
            </w:pPr>
            <w:r>
              <w:t xml:space="preserve">District court (NRS 239.011)</w:t>
            </w:r>
          </w:p>
        </w:tc>
      </w:tr>
      <w:tr>
        <w:tc>
          <w:tcPr/>
          <w:p>
            <w:pPr>
              <w:pStyle w:val="Compact"/>
              <w:spacing w:after="160" w:line="259" w:lineRule="auto"/>
              <w:jc w:val="left"/>
            </w:pPr>
            <w:r>
              <w:t xml:space="preserve">New Jersey</w:t>
            </w:r>
          </w:p>
        </w:tc>
        <w:tc>
          <w:tcPr/>
          <w:p>
            <w:pPr>
              <w:pStyle w:val="Compact"/>
              <w:spacing w:after="160" w:line="259" w:lineRule="auto"/>
              <w:jc w:val="left"/>
            </w:pPr>
            <w:r>
              <w:t xml:space="preserve">N.J.S.A. 47:1A-1 et seq.</w:t>
            </w:r>
          </w:p>
        </w:tc>
        <w:tc>
          <w:tcPr/>
          <w:p>
            <w:pPr>
              <w:pStyle w:val="Compact"/>
              <w:spacing w:after="160" w:line="259" w:lineRule="auto"/>
              <w:jc w:val="left"/>
            </w:pPr>
            <w:r>
              <w:t xml:space="preserve">7 business days (47:1A-5(i))</w:t>
            </w:r>
          </w:p>
        </w:tc>
        <w:tc>
          <w:tcPr/>
          <w:p>
            <w:pPr>
              <w:pStyle w:val="Compact"/>
              <w:spacing w:after="160" w:line="259" w:lineRule="auto"/>
              <w:jc w:val="left"/>
            </w:pPr>
            <w:r>
              <w:t xml:space="preserve">Government Records Council or Superior Court (47:1A-6)</w:t>
            </w:r>
          </w:p>
        </w:tc>
      </w:tr>
      <w:tr>
        <w:tc>
          <w:tcPr/>
          <w:p>
            <w:pPr>
              <w:pStyle w:val="Compact"/>
              <w:spacing w:after="160" w:line="259" w:lineRule="auto"/>
              <w:jc w:val="left"/>
            </w:pPr>
            <w:r>
              <w:t xml:space="preserve">New Mexico</w:t>
            </w:r>
          </w:p>
        </w:tc>
        <w:tc>
          <w:tcPr/>
          <w:p>
            <w:pPr>
              <w:pStyle w:val="Compact"/>
              <w:spacing w:after="160" w:line="259" w:lineRule="auto"/>
              <w:jc w:val="left"/>
            </w:pPr>
            <w:r>
              <w:t xml:space="preserve">NMSA §14-2-1 et seq.</w:t>
            </w:r>
          </w:p>
        </w:tc>
        <w:tc>
          <w:tcPr/>
          <w:p>
            <w:pPr>
              <w:pStyle w:val="Compact"/>
              <w:spacing w:after="160" w:line="259" w:lineRule="auto"/>
              <w:jc w:val="left"/>
            </w:pPr>
            <w:r>
              <w:t xml:space="preserve">15 days; acknowledgment in 3 business days (§14-2-8)</w:t>
            </w:r>
          </w:p>
        </w:tc>
        <w:tc>
          <w:tcPr/>
          <w:p>
            <w:pPr>
              <w:pStyle w:val="Compact"/>
              <w:spacing w:after="160" w:line="259" w:lineRule="auto"/>
              <w:jc w:val="left"/>
            </w:pPr>
            <w:r>
              <w:t xml:space="preserve">District court (§14-2-12)</w:t>
            </w:r>
          </w:p>
        </w:tc>
      </w:tr>
      <w:tr>
        <w:tc>
          <w:tcPr/>
          <w:p>
            <w:pPr>
              <w:pStyle w:val="Compact"/>
              <w:spacing w:after="160" w:line="259" w:lineRule="auto"/>
              <w:jc w:val="left"/>
            </w:pPr>
            <w:r>
              <w:t xml:space="preserve">New York</w:t>
            </w:r>
          </w:p>
        </w:tc>
        <w:tc>
          <w:tcPr/>
          <w:p>
            <w:pPr>
              <w:pStyle w:val="Compact"/>
              <w:spacing w:after="160" w:line="259" w:lineRule="auto"/>
              <w:jc w:val="left"/>
            </w:pPr>
            <w:r>
              <w:t xml:space="preserve">N.Y. Pub. Off. Law §§84-90</w:t>
            </w:r>
          </w:p>
        </w:tc>
        <w:tc>
          <w:tcPr/>
          <w:p>
            <w:pPr>
              <w:pStyle w:val="Compact"/>
              <w:spacing w:after="160" w:line="259" w:lineRule="auto"/>
              <w:jc w:val="left"/>
            </w:pPr>
            <w:r>
              <w:t xml:space="preserve">5 business days to acknowledge, then a reasonable time (§89(3))</w:t>
            </w:r>
          </w:p>
        </w:tc>
        <w:tc>
          <w:tcPr/>
          <w:p>
            <w:pPr>
              <w:pStyle w:val="Compact"/>
              <w:spacing w:after="160" w:line="259" w:lineRule="auto"/>
              <w:jc w:val="left"/>
            </w:pPr>
            <w:r>
              <w:t xml:space="preserve">Agency appeal within 30 days, then Article 78 (§89(4))</w:t>
            </w:r>
          </w:p>
        </w:tc>
      </w:tr>
      <w:tr>
        <w:tc>
          <w:tcPr/>
          <w:p>
            <w:pPr>
              <w:pStyle w:val="Compact"/>
              <w:spacing w:after="160" w:line="259" w:lineRule="auto"/>
              <w:jc w:val="left"/>
            </w:pPr>
            <w:r>
              <w:t xml:space="preserve">North Carolina</w:t>
            </w:r>
          </w:p>
        </w:tc>
        <w:tc>
          <w:tcPr/>
          <w:p>
            <w:pPr>
              <w:pStyle w:val="Compact"/>
              <w:spacing w:after="160" w:line="259" w:lineRule="auto"/>
              <w:jc w:val="left"/>
            </w:pPr>
            <w:r>
              <w:t xml:space="preserve">N.C.G.S. ch. 132</w:t>
            </w:r>
          </w:p>
        </w:tc>
        <w:tc>
          <w:tcPr/>
          <w:p>
            <w:pPr>
              <w:pStyle w:val="Compact"/>
              <w:spacing w:after="160" w:line="259" w:lineRule="auto"/>
              <w:jc w:val="left"/>
            </w:pPr>
            <w:r>
              <w:t xml:space="preserve">“</w:t>
            </w:r>
            <w:r>
              <w:t xml:space="preserve">As promptly as possible</w:t>
            </w:r>
            <w:r>
              <w:t xml:space="preserve">”</w:t>
            </w:r>
            <w:r>
              <w:t xml:space="preserve"> </w:t>
            </w:r>
            <w:r>
              <w:t xml:space="preserve">(§132-6)</w:t>
            </w:r>
          </w:p>
        </w:tc>
        <w:tc>
          <w:tcPr/>
          <w:p>
            <w:pPr>
              <w:pStyle w:val="Compact"/>
              <w:spacing w:after="160" w:line="259" w:lineRule="auto"/>
              <w:jc w:val="left"/>
            </w:pPr>
            <w:r>
              <w:t xml:space="preserve">Superior court (§132-9)</w:t>
            </w:r>
          </w:p>
        </w:tc>
      </w:tr>
      <w:tr>
        <w:tc>
          <w:tcPr/>
          <w:p>
            <w:pPr>
              <w:pStyle w:val="Compact"/>
              <w:spacing w:after="160" w:line="259" w:lineRule="auto"/>
              <w:jc w:val="left"/>
            </w:pPr>
            <w:r>
              <w:t xml:space="preserve">Ohio</w:t>
            </w:r>
          </w:p>
        </w:tc>
        <w:tc>
          <w:tcPr/>
          <w:p>
            <w:pPr>
              <w:pStyle w:val="Compact"/>
              <w:spacing w:after="160" w:line="259" w:lineRule="auto"/>
              <w:jc w:val="left"/>
            </w:pPr>
            <w:r>
              <w:t xml:space="preserve">Ohio Rev. Code §149.43</w:t>
            </w:r>
          </w:p>
        </w:tc>
        <w:tc>
          <w:tcPr/>
          <w:p>
            <w:pPr>
              <w:pStyle w:val="Compact"/>
              <w:spacing w:after="160" w:line="259" w:lineRule="auto"/>
              <w:jc w:val="left"/>
            </w:pPr>
            <w:r>
              <w:t xml:space="preserve">“</w:t>
            </w:r>
            <w:r>
              <w:t xml:space="preserve">Promptly,</w:t>
            </w:r>
            <w:r>
              <w:t xml:space="preserve">”</w:t>
            </w:r>
            <w:r>
              <w:t xml:space="preserve"> </w:t>
            </w:r>
            <w:r>
              <w:t xml:space="preserve">within a reasonable period (§149.43(B))</w:t>
            </w:r>
          </w:p>
        </w:tc>
        <w:tc>
          <w:tcPr/>
          <w:p>
            <w:pPr>
              <w:pStyle w:val="Compact"/>
              <w:spacing w:after="160" w:line="259" w:lineRule="auto"/>
              <w:jc w:val="left"/>
            </w:pPr>
            <w:r>
              <w:t xml:space="preserve">Mandamus or Court of Claims complaint (§149.43(C); §2743.75)</w:t>
            </w:r>
          </w:p>
        </w:tc>
      </w:tr>
      <w:tr>
        <w:tc>
          <w:tcPr/>
          <w:p>
            <w:pPr>
              <w:pStyle w:val="Compact"/>
              <w:spacing w:after="160" w:line="259" w:lineRule="auto"/>
              <w:jc w:val="left"/>
            </w:pPr>
            <w:r>
              <w:t xml:space="preserve">Pennsylvania</w:t>
            </w:r>
          </w:p>
        </w:tc>
        <w:tc>
          <w:tcPr/>
          <w:p>
            <w:pPr>
              <w:pStyle w:val="Compact"/>
              <w:spacing w:after="160" w:line="259" w:lineRule="auto"/>
              <w:jc w:val="left"/>
            </w:pPr>
            <w:r>
              <w:t xml:space="preserve">65 P.S. §67.101 et seq.</w:t>
            </w:r>
          </w:p>
        </w:tc>
        <w:tc>
          <w:tcPr/>
          <w:p>
            <w:pPr>
              <w:pStyle w:val="Compact"/>
              <w:spacing w:after="160" w:line="259" w:lineRule="auto"/>
              <w:jc w:val="left"/>
            </w:pPr>
            <w:r>
              <w:t xml:space="preserve">5 business days; 30-day extension (§§67.901-.902)</w:t>
            </w:r>
          </w:p>
        </w:tc>
        <w:tc>
          <w:tcPr/>
          <w:p>
            <w:pPr>
              <w:pStyle w:val="Compact"/>
              <w:spacing w:after="160" w:line="259" w:lineRule="auto"/>
              <w:jc w:val="left"/>
            </w:pPr>
            <w:r>
              <w:t xml:space="preserve">Office of Open Records within 15 business days (§67.1101)</w:t>
            </w:r>
          </w:p>
        </w:tc>
      </w:tr>
      <w:tr>
        <w:tc>
          <w:tcPr/>
          <w:p>
            <w:pPr>
              <w:pStyle w:val="Compact"/>
              <w:spacing w:after="160" w:line="259" w:lineRule="auto"/>
              <w:jc w:val="left"/>
            </w:pPr>
            <w:r>
              <w:t xml:space="preserve">Texas</w:t>
            </w:r>
          </w:p>
        </w:tc>
        <w:tc>
          <w:tcPr/>
          <w:p>
            <w:pPr>
              <w:pStyle w:val="Compact"/>
              <w:spacing w:after="160" w:line="259" w:lineRule="auto"/>
              <w:jc w:val="left"/>
            </w:pPr>
            <w:r>
              <w:t xml:space="preserve">Tex. Gov’t Code ch. 552</w:t>
            </w:r>
          </w:p>
        </w:tc>
        <w:tc>
          <w:tcPr/>
          <w:p>
            <w:pPr>
              <w:pStyle w:val="Compact"/>
              <w:spacing w:after="160" w:line="259" w:lineRule="auto"/>
              <w:jc w:val="left"/>
            </w:pPr>
            <w:r>
              <w:t xml:space="preserve">“</w:t>
            </w:r>
            <w:r>
              <w:t xml:space="preserve">Promptly</w:t>
            </w:r>
            <w:r>
              <w:t xml:space="preserve">”</w:t>
            </w:r>
            <w:r>
              <w:t xml:space="preserve">; 10 business days to seek an Attorney General ruling (§§552.221, .301)</w:t>
            </w:r>
          </w:p>
        </w:tc>
        <w:tc>
          <w:tcPr/>
          <w:p>
            <w:pPr>
              <w:pStyle w:val="Compact"/>
              <w:spacing w:after="160" w:line="259" w:lineRule="auto"/>
              <w:jc w:val="left"/>
            </w:pPr>
            <w:r>
              <w:t xml:space="preserve">Attorney General ruling; mandamus (§552.321)</w:t>
            </w:r>
          </w:p>
        </w:tc>
      </w:tr>
      <w:tr>
        <w:tc>
          <w:tcPr/>
          <w:p>
            <w:pPr>
              <w:pStyle w:val="Compact"/>
              <w:spacing w:after="160" w:line="259" w:lineRule="auto"/>
              <w:jc w:val="left"/>
            </w:pPr>
            <w:r>
              <w:t xml:space="preserve">Utah</w:t>
            </w:r>
          </w:p>
        </w:tc>
        <w:tc>
          <w:tcPr/>
          <w:p>
            <w:pPr>
              <w:pStyle w:val="Compact"/>
              <w:spacing w:after="160" w:line="259" w:lineRule="auto"/>
              <w:jc w:val="left"/>
            </w:pPr>
            <w:r>
              <w:t xml:space="preserve">Utah Code §63G-2-101 et seq.</w:t>
            </w:r>
          </w:p>
        </w:tc>
        <w:tc>
          <w:tcPr/>
          <w:p>
            <w:pPr>
              <w:pStyle w:val="Compact"/>
              <w:spacing w:after="160" w:line="259" w:lineRule="auto"/>
              <w:jc w:val="left"/>
            </w:pPr>
            <w:r>
              <w:t xml:space="preserve">10 business days (§63G-2-204)</w:t>
            </w:r>
          </w:p>
        </w:tc>
        <w:tc>
          <w:tcPr/>
          <w:p>
            <w:pPr>
              <w:pStyle w:val="Compact"/>
              <w:spacing w:after="160" w:line="259" w:lineRule="auto"/>
              <w:jc w:val="left"/>
            </w:pPr>
            <w:r>
              <w:t xml:space="preserve">Agency appeal within 30 days, then State Records Committee or court (§§63G-2-401, -403)</w:t>
            </w:r>
          </w:p>
        </w:tc>
      </w:tr>
      <w:tr>
        <w:tc>
          <w:tcPr/>
          <w:p>
            <w:pPr>
              <w:pStyle w:val="Compact"/>
              <w:spacing w:after="160" w:line="259" w:lineRule="auto"/>
              <w:jc w:val="left"/>
            </w:pPr>
            <w:r>
              <w:t xml:space="preserve">Virginia</w:t>
            </w:r>
          </w:p>
        </w:tc>
        <w:tc>
          <w:tcPr/>
          <w:p>
            <w:pPr>
              <w:pStyle w:val="Compact"/>
              <w:spacing w:after="160" w:line="259" w:lineRule="auto"/>
              <w:jc w:val="left"/>
            </w:pPr>
            <w:r>
              <w:t xml:space="preserve">Va. Code §2.2-3700 et seq.</w:t>
            </w:r>
          </w:p>
        </w:tc>
        <w:tc>
          <w:tcPr/>
          <w:p>
            <w:pPr>
              <w:pStyle w:val="Compact"/>
              <w:spacing w:after="160" w:line="259" w:lineRule="auto"/>
              <w:jc w:val="left"/>
            </w:pPr>
            <w:r>
              <w:t xml:space="preserve">5 working days; 7-day extension (§2.2-3704)</w:t>
            </w:r>
          </w:p>
        </w:tc>
        <w:tc>
          <w:tcPr/>
          <w:p>
            <w:pPr>
              <w:pStyle w:val="Compact"/>
              <w:spacing w:after="160" w:line="259" w:lineRule="auto"/>
              <w:jc w:val="left"/>
            </w:pPr>
            <w:r>
              <w:t xml:space="preserve">Petition for mandamus or injunction (§2.2-3713)</w:t>
            </w:r>
          </w:p>
        </w:tc>
      </w:tr>
      <w:tr>
        <w:tc>
          <w:tcPr/>
          <w:p>
            <w:pPr>
              <w:pStyle w:val="Compact"/>
              <w:spacing w:after="160" w:line="259" w:lineRule="auto"/>
              <w:jc w:val="left"/>
            </w:pPr>
            <w:r>
              <w:t xml:space="preserve">Washington</w:t>
            </w:r>
          </w:p>
        </w:tc>
        <w:tc>
          <w:tcPr/>
          <w:p>
            <w:pPr>
              <w:pStyle w:val="Compact"/>
              <w:spacing w:after="160" w:line="259" w:lineRule="auto"/>
              <w:jc w:val="left"/>
            </w:pPr>
            <w:r>
              <w:t xml:space="preserve">RCW ch. 42.56</w:t>
            </w:r>
          </w:p>
        </w:tc>
        <w:tc>
          <w:tcPr/>
          <w:p>
            <w:pPr>
              <w:pStyle w:val="Compact"/>
              <w:spacing w:after="160" w:line="259" w:lineRule="auto"/>
              <w:jc w:val="left"/>
            </w:pPr>
            <w:r>
              <w:t xml:space="preserve">5 business days to respond or estimate (§42.56.520)</w:t>
            </w:r>
          </w:p>
        </w:tc>
        <w:tc>
          <w:tcPr/>
          <w:p>
            <w:pPr>
              <w:pStyle w:val="Compact"/>
              <w:spacing w:after="160" w:line="259" w:lineRule="auto"/>
              <w:jc w:val="left"/>
            </w:pPr>
            <w:r>
              <w:t xml:space="preserve">Superior court (§42.56.550)</w:t>
            </w:r>
          </w:p>
        </w:tc>
      </w:tr>
    </w:tbl>
    <w:p>
      <w:pPr>
        <w:pStyle w:val="BodyText"/>
        <w:spacing w:after="160" w:line="259" w:lineRule="auto"/>
      </w:pPr>
      <w:r>
        <w:t xml:space="preserve">Periods are stated as of October 2026. Many states let the agency extend or deem a request withdrawn if the</w:t>
      </w:r>
      <w:r>
        <w:t xml:space="preserve"> </w:t>
      </w:r>
      <w:r>
        <w:t xml:space="preserve">requester does not respond to a clarification request, so answer agency correspondence quickly.</w:t>
      </w:r>
    </w:p>
    <w:p>
      <w:pPr>
        <w:pStyle w:val="BodyText"/>
        <w:spacing w:after="160" w:line="259" w:lineRule="auto"/>
      </w:pPr>
      <w:r>
        <w:rPr>
          <w:bCs/>
          <w:b/>
        </w:rPr>
        <w:t xml:space="preserve">When to use.</w:t>
      </w:r>
      <w:r>
        <w:t xml:space="preserve"> </w:t>
      </w:r>
      <w:r>
        <w:t xml:space="preserve">Records held by state or local agencies: 911 and dispatch logs, police reports and video, state aviation and emergency management records, National Guard records in state status.</w:t>
      </w:r>
      <w:r>
        <w:t xml:space="preserve"> </w:t>
      </w:r>
      <w:r>
        <w:rPr>
          <w:bCs/>
          <w:b/>
        </w:rPr>
        <w:t xml:space="preserve">Not for:</w:t>
      </w:r>
      <w:r>
        <w:t xml:space="preserve"> </w:t>
      </w:r>
      <w:r>
        <w:t xml:space="preserve">Federal agencies (Forms A2-1, B1-1).</w:t>
      </w:r>
    </w:p>
    <w:p>
      <w:pPr>
        <w:pStyle w:val="BodyText"/>
        <w:spacing w:after="160" w:line="259" w:lineRule="auto"/>
      </w:pPr>
      <w:r>
        <w:rPr>
          <w:bCs/>
          <w:b/>
        </w:rPr>
        <w:t xml:space="preserve">Deadlines.</w:t>
      </w:r>
      <w:r>
        <w:t xml:space="preserve"> </w:t>
      </w:r>
      <w:r>
        <w:t xml:space="preserve">See the table below; periods differ by state.</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[Requester name, address, email]</w:t>
      </w:r>
    </w:p>
    <w:p>
      <w:pPr>
        <w:pStyle w:val="BodyText"/>
      </w:pPr>
      <w:r>
        <w:t xml:space="preserve">[Date]</w:t>
      </w:r>
    </w:p>
    <w:p>
      <w:pPr>
        <w:pStyle w:val="BodyText"/>
      </w:pPr>
      <w:r>
        <w:t xml:space="preserve">[Records custodian]</w:t>
      </w:r>
      <w:r>
        <w:br/>
      </w:r>
      <w:r>
        <w:t xml:space="preserve">[Agency]</w:t>
      </w:r>
      <w:r>
        <w:br/>
      </w:r>
      <w:r>
        <w:t xml:space="preserve">[Address / portal]</w:t>
      </w:r>
    </w:p>
    <w:p>
      <w:pPr>
        <w:pStyle w:val="BodyText"/>
      </w:pPr>
      <w:r>
        <w:rPr>
          <w:bCs/>
          <w:b/>
        </w:rPr>
        <w:t xml:space="preserve">Re: Public records request under [statute] for records concerning unidentified anomalous phenomena</w:t>
      </w:r>
    </w:p>
    <w:p>
      <w:pPr>
        <w:pStyle w:val="BodyText"/>
      </w:pPr>
      <w:r>
        <w:t xml:space="preserve">Dear Records Custodian:</w:t>
      </w:r>
    </w:p>
    <w:p>
      <w:pPr>
        <w:pStyle w:val="BodyText"/>
      </w:pPr>
      <w:r>
        <w:t xml:space="preserve">Under [statute] [and Article ___, Section ___ of the [State] Constitution], I request copies of the</w:t>
      </w:r>
      <w:r>
        <w:t xml:space="preserve"> </w:t>
      </w:r>
      <w:r>
        <w:t xml:space="preserve">following records in the possession, custody, or control of [agency], including records held by its</w:t>
      </w:r>
      <w:r>
        <w:t xml:space="preserve"> </w:t>
      </w:r>
      <w:r>
        <w:t xml:space="preserve">contractors:</w:t>
      </w:r>
    </w:p>
    <w:p>
      <w:pPr>
        <w:pStyle w:val="Compact"/>
        <w:numPr>
          <w:ilvl w:val="0"/>
          <w:numId w:val="1001"/>
        </w:numPr>
      </w:pPr>
      <w:r>
        <w:t xml:space="preserve">All incident reports, dispatch and call logs, CAD entries, radio logs, body-worn and dash camera</w:t>
      </w:r>
      <w:r>
        <w:t xml:space="preserve"> </w:t>
      </w:r>
      <w:r>
        <w:t xml:space="preserve">recordings, photographs, and notes concerning reports of unidentified aerial, aerospace, or anomalous</w:t>
      </w:r>
      <w:r>
        <w:t xml:space="preserve"> </w:t>
      </w:r>
      <w:r>
        <w:t xml:space="preserve">objects, lights, or craft,</w:t>
      </w:r>
      <w:r>
        <w:t xml:space="preserve"> </w:t>
      </w:r>
      <w:r>
        <w:t xml:space="preserve">“</w:t>
      </w:r>
      <w:r>
        <w:t xml:space="preserve">UFOs,</w:t>
      </w:r>
      <w:r>
        <w:t xml:space="preserve">”</w:t>
      </w:r>
      <w:r>
        <w:t xml:space="preserve"> </w:t>
      </w:r>
      <w:r>
        <w:t xml:space="preserve">“</w:t>
      </w:r>
      <w:r>
        <w:t xml:space="preserve">UAPs,</w:t>
      </w:r>
      <w:r>
        <w:t xml:space="preserve">”</w:t>
      </w:r>
      <w:r>
        <w:t xml:space="preserve"> </w:t>
      </w:r>
      <w:r>
        <w:t xml:space="preserve">“</w:t>
      </w:r>
      <w:r>
        <w:t xml:space="preserve">drones</w:t>
      </w:r>
      <w:r>
        <w:t xml:space="preserve">”</w:t>
      </w:r>
      <w:r>
        <w:t xml:space="preserve"> </w:t>
      </w:r>
      <w:r>
        <w:t xml:space="preserve">of unknown origin, or</w:t>
      </w:r>
      <w:r>
        <w:t xml:space="preserve"> </w:t>
      </w:r>
      <w:r>
        <w:t xml:space="preserve">“</w:t>
      </w:r>
      <w:r>
        <w:t xml:space="preserve">unidentified objects,</w:t>
      </w:r>
      <w:r>
        <w:t xml:space="preserve">”</w:t>
      </w:r>
      <w:r>
        <w:t xml:space="preserve"> </w:t>
      </w:r>
      <w:r>
        <w:t xml:space="preserve">[at/near location] [between dates].</w:t>
      </w:r>
    </w:p>
    <w:p>
      <w:pPr>
        <w:pStyle w:val="Compact"/>
        <w:numPr>
          <w:ilvl w:val="0"/>
          <w:numId w:val="1001"/>
        </w:numPr>
      </w:pPr>
      <w:r>
        <w:t xml:space="preserve">All communications between [agency] and any federal agency or office (including the Department of</w:t>
      </w:r>
      <w:r>
        <w:t xml:space="preserve"> </w:t>
      </w:r>
      <w:r>
        <w:t xml:space="preserve">War, the All-domain Anomaly Resolution Office, NORAD, U.S. Northern Command, the FAA, the FBI, the</w:t>
      </w:r>
      <w:r>
        <w:t xml:space="preserve"> </w:t>
      </w:r>
      <w:r>
        <w:t xml:space="preserve">Department of Homeland Security, and the Department of Energy) concerning the events or subjects in</w:t>
      </w:r>
      <w:r>
        <w:t xml:space="preserve"> </w:t>
      </w:r>
      <w:r>
        <w:t xml:space="preserve">item 1.</w:t>
      </w:r>
    </w:p>
    <w:p>
      <w:pPr>
        <w:pStyle w:val="Compact"/>
        <w:numPr>
          <w:ilvl w:val="0"/>
          <w:numId w:val="1001"/>
        </w:numPr>
      </w:pPr>
      <w:r>
        <w:t xml:space="preserve">Any policy, procedure, training material, or guidance concerning how [agency] personnel should</w:t>
      </w:r>
      <w:r>
        <w:t xml:space="preserve"> </w:t>
      </w:r>
      <w:r>
        <w:t xml:space="preserve">respond to or report sightings of unidentified aerial or anomalous objects.</w:t>
      </w:r>
    </w:p>
    <w:p>
      <w:pPr>
        <w:pStyle w:val="Compact"/>
        <w:numPr>
          <w:ilvl w:val="0"/>
          <w:numId w:val="1001"/>
        </w:numPr>
      </w:pPr>
      <w:r>
        <w:t xml:space="preserve">Any nondisclosure agreement, confidentiality request, or instruction from a federal agency concerning</w:t>
      </w:r>
      <w:r>
        <w:t xml:space="preserve"> </w:t>
      </w:r>
      <w:r>
        <w:t xml:space="preserve">the events or subjects in item 1.</w:t>
      </w:r>
    </w:p>
    <w:p>
      <w:pPr>
        <w:pStyle w:val="FirstParagraph"/>
      </w:pPr>
      <w:r>
        <w:rPr>
          <w:bCs/>
          <w:b/>
        </w:rPr>
        <w:t xml:space="preserve">Search terms.</w:t>
      </w:r>
      <w:r>
        <w:t xml:space="preserve"> </w:t>
      </w:r>
      <w:r>
        <w:t xml:space="preserve">Please search using at least:</w:t>
      </w:r>
      <w:r>
        <w:t xml:space="preserve"> </w:t>
      </w:r>
      <w:r>
        <w:t xml:space="preserve">“</w:t>
      </w:r>
      <w:r>
        <w:t xml:space="preserve">UAP,</w:t>
      </w:r>
      <w:r>
        <w:t xml:space="preserve">”</w:t>
      </w:r>
      <w:r>
        <w:t xml:space="preserve"> </w:t>
      </w:r>
      <w:r>
        <w:t xml:space="preserve">“</w:t>
      </w:r>
      <w:r>
        <w:t xml:space="preserve">UFO,</w:t>
      </w:r>
      <w:r>
        <w:t xml:space="preserve">”</w:t>
      </w:r>
      <w:r>
        <w:t xml:space="preserve"> </w:t>
      </w:r>
      <w:r>
        <w:t xml:space="preserve">“</w:t>
      </w:r>
      <w:r>
        <w:t xml:space="preserve">unidentified anomalous phenomena,</w:t>
      </w:r>
      <w:r>
        <w:t xml:space="preserve">”</w:t>
      </w:r>
      <w:r>
        <w:t xml:space="preserve"> </w:t>
      </w:r>
      <w:r>
        <w:t xml:space="preserve">“</w:t>
      </w:r>
      <w:r>
        <w:t xml:space="preserve">unidentified aerial phenomena,</w:t>
      </w:r>
      <w:r>
        <w:t xml:space="preserve">”</w:t>
      </w:r>
      <w:r>
        <w:t xml:space="preserve"> </w:t>
      </w:r>
      <w:r>
        <w:t xml:space="preserve">“</w:t>
      </w:r>
      <w:r>
        <w:t xml:space="preserve">unidentified flying object,</w:t>
      </w:r>
      <w:r>
        <w:t xml:space="preserve">”</w:t>
      </w:r>
      <w:r>
        <w:t xml:space="preserve"> </w:t>
      </w:r>
      <w:r>
        <w:t xml:space="preserve">“</w:t>
      </w:r>
      <w:r>
        <w:t xml:space="preserve">unidentified object,</w:t>
      </w:r>
      <w:r>
        <w:t xml:space="preserve">”</w:t>
      </w:r>
      <w:r>
        <w:t xml:space="preserve"> </w:t>
      </w:r>
      <w:r>
        <w:t xml:space="preserve">“</w:t>
      </w:r>
      <w:r>
        <w:t xml:space="preserve">orb,</w:t>
      </w:r>
      <w:r>
        <w:t xml:space="preserve">”</w:t>
      </w:r>
      <w:r>
        <w:t xml:space="preserve"> </w:t>
      </w:r>
      <w:r>
        <w:t xml:space="preserve">“</w:t>
      </w:r>
      <w:r>
        <w:t xml:space="preserve">drone,</w:t>
      </w:r>
      <w:r>
        <w:t xml:space="preserve">”</w:t>
      </w:r>
      <w:r>
        <w:t xml:space="preserve"> </w:t>
      </w:r>
      <w:r>
        <w:t xml:space="preserve">“</w:t>
      </w:r>
      <w:r>
        <w:t xml:space="preserve">unknown aircraft,</w:t>
      </w:r>
      <w:r>
        <w:t xml:space="preserve">”</w:t>
      </w:r>
      <w:r>
        <w:t xml:space="preserve"> </w:t>
      </w:r>
      <w:r>
        <w:t xml:space="preserve">and</w:t>
      </w:r>
      <w:r>
        <w:t xml:space="preserve"> </w:t>
      </w:r>
      <w:r>
        <w:t xml:space="preserve">“</w:t>
      </w:r>
      <w:r>
        <w:t xml:space="preserve">AARO.</w:t>
      </w:r>
      <w:r>
        <w:t xml:space="preserve">”</w:t>
      </w:r>
    </w:p>
    <w:p>
      <w:pPr>
        <w:pStyle w:val="BodyText"/>
      </w:pPr>
      <w:r>
        <w:rPr>
          <w:bCs/>
          <w:b/>
        </w:rPr>
        <w:t xml:space="preserve">Federal records.</w:t>
      </w:r>
      <w:r>
        <w:t xml:space="preserve"> </w:t>
      </w:r>
      <w:r>
        <w:t xml:space="preserve">If [agency] withholds any record on the ground that it belongs to or was provided by</w:t>
      </w:r>
      <w:r>
        <w:t xml:space="preserve"> </w:t>
      </w:r>
      <w:r>
        <w:t xml:space="preserve">a federal agency, please identify the record, the federal agency, and the legal basis for withholding,</w:t>
      </w:r>
      <w:r>
        <w:t xml:space="preserve"> </w:t>
      </w:r>
      <w:r>
        <w:t xml:space="preserve">and release any portion created by [agency].</w:t>
      </w:r>
    </w:p>
    <w:p>
      <w:pPr>
        <w:pStyle w:val="BodyText"/>
      </w:pPr>
      <w:r>
        <w:rPr>
          <w:bCs/>
          <w:b/>
        </w:rPr>
        <w:t xml:space="preserve">Format and fees.</w:t>
      </w:r>
      <w:r>
        <w:t xml:space="preserve"> </w:t>
      </w:r>
      <w:r>
        <w:t xml:space="preserve">Please provide records electronically. [Request fee waiver or reduction under</w:t>
      </w:r>
      <w:r>
        <w:t xml:space="preserve"> </w:t>
      </w:r>
      <w:r>
        <w:t xml:space="preserve">(statute), stating public interest.] Please notify me before incurring fees over $[amount].</w:t>
      </w:r>
    </w:p>
    <w:p>
      <w:pPr>
        <w:pStyle w:val="BodyText"/>
      </w:pPr>
      <w:r>
        <w:rPr>
          <w:bCs/>
          <w:b/>
        </w:rPr>
        <w:t xml:space="preserve">Response.</w:t>
      </w:r>
      <w:r>
        <w:t xml:space="preserve"> </w:t>
      </w:r>
      <w:r>
        <w:t xml:space="preserve">[State] law requires a response within [time]. If any record is withheld, please identify</w:t>
      </w:r>
      <w:r>
        <w:t xml:space="preserve"> </w:t>
      </w:r>
      <w:r>
        <w:t xml:space="preserve">it and the specific exemption claimed, and release all reasonably segregable portions.</w:t>
      </w:r>
    </w:p>
    <w:p>
      <w:pPr>
        <w:pStyle w:val="BodyText"/>
      </w:pPr>
      <w:r>
        <w:t xml:space="preserve">Sincerely,</w:t>
      </w:r>
      <w:r>
        <w:br/>
      </w:r>
      <w:r>
        <w:t xml:space="preserve">[Name]</w:t>
      </w:r>
    </w:p>
    <w:bookmarkEnd w:id="2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A4-2. State Public-Records Request for UAP Records</dc:title>
  <dc:creator>nhilaw.com</dc:creator>
  <cp:keywords/>
  <dcterms:created xsi:type="dcterms:W3CDTF">2026-10-19T03:12:07Z</dcterms:created>
  <dcterms:modified xsi:type="dcterms:W3CDTF">2026-10-19T03:12:07Z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