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1" w:name="X0295ee58eb69bf1a819bf63e37eafc634b8b559"/>
    <w:p>
      <w:pPr>
        <w:pStyle w:val="Heading1"/>
      </w:pPr>
      <w:r>
        <w:t xml:space="preserve">Form A4-3. Letter to the Department of State Requesting the U.S. Position on Outer Space Treaty Reporting of UAP</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https://nhilaw.com/forms/a4-3.html</w:t>
      </w:r>
    </w:p>
    <w:p>
      <w:pPr>
        <w:pStyle w:val="BodyText"/>
        <w:spacing w:after="160" w:line="259" w:lineRule="auto"/>
      </w:pPr>
      <w:r>
        <w:rPr>
          <w:bCs/>
          <w:b/>
        </w:rPr>
        <w:t xml:space="preserve">When to use.</w:t>
      </w:r>
      <w:r>
        <w:t xml:space="preserve"> </w:t>
      </w:r>
      <w:r>
        <w:t xml:space="preserve">Asking the State Department to explain how it applies the Outer Space Treaty’s reporting articles to UAP and NHI information.</w:t>
      </w:r>
      <w:r>
        <w:t xml:space="preserve"> </w:t>
      </w:r>
      <w:r>
        <w:rPr>
          <w:bCs/>
          <w:b/>
        </w:rPr>
        <w:t xml:space="preserve">Not for:</w:t>
      </w:r>
      <w:r>
        <w:t xml:space="preserve"> </w:t>
      </w:r>
      <w:r>
        <w:t xml:space="preserve">Records requests, which go by FOIA in parallel.</w:t>
      </w:r>
    </w:p>
    <w:p>
      <w:pPr>
        <w:pStyle w:val="BodyText"/>
        <w:spacing w:after="160" w:line="259" w:lineRule="auto"/>
      </w:pPr>
      <w:r>
        <w:rPr>
          <w:bCs/>
          <w:b/>
        </w:rPr>
        <w:t xml:space="preserve">Deadlines.</w:t>
      </w:r>
      <w:r>
        <w:t xml:space="preserve"> </w:t>
      </w:r>
      <w:r>
        <w:t xml:space="preserve">None. Send the companion FOIA request the same day.</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t xml:space="preserve">[Name, organization, address, email]</w:t>
      </w:r>
    </w:p>
    <w:p>
      <w:pPr>
        <w:pStyle w:val="BodyText"/>
      </w:pPr>
      <w:r>
        <w:t xml:space="preserve">[Date]</w:t>
      </w:r>
    </w:p>
    <w:p>
      <w:pPr>
        <w:pStyle w:val="BodyText"/>
      </w:pPr>
      <w:r>
        <w:t xml:space="preserve">Office of the Legal Adviser</w:t>
      </w:r>
      <w:r>
        <w:br/>
      </w:r>
      <w:r>
        <w:t xml:space="preserve">U.S. Department of State</w:t>
      </w:r>
      <w:r>
        <w:br/>
      </w:r>
      <w:r>
        <w:t xml:space="preserve">2201 C Street NW, Washington, DC 20520</w:t>
      </w:r>
      <w:r>
        <w:br/>
      </w:r>
      <w:r>
        <w:t xml:space="preserve">[Copy: Bureau of Arms Control, Deterrence, and Stability, Office of Space Affairs; confirm current</w:t>
      </w:r>
      <w:r>
        <w:br/>
      </w:r>
      <w:r>
        <w:t xml:space="preserve">office]</w:t>
      </w:r>
    </w:p>
    <w:p>
      <w:pPr>
        <w:pStyle w:val="BodyText"/>
      </w:pPr>
      <w:r>
        <w:rPr>
          <w:bCs/>
          <w:b/>
        </w:rPr>
        <w:t xml:space="preserve">Re: United States position on reporting of unidentified anomalous phenomena under Articles V, VI, and</w:t>
      </w:r>
      <w:r>
        <w:rPr>
          <w:bCs/>
          <w:b/>
        </w:rPr>
        <w:t xml:space="preserve"> </w:t>
      </w:r>
      <w:r>
        <w:rPr>
          <w:bCs/>
          <w:b/>
        </w:rPr>
        <w:t xml:space="preserve">XI of the Outer Space Treaty</w:t>
      </w:r>
    </w:p>
    <w:p>
      <w:pPr>
        <w:pStyle w:val="BodyText"/>
      </w:pPr>
      <w:r>
        <w:t xml:space="preserve">Dear [Legal Adviser]:</w:t>
      </w:r>
    </w:p>
    <w:p>
      <w:pPr>
        <w:pStyle w:val="BodyText"/>
      </w:pPr>
      <w:r>
        <w:t xml:space="preserve">I write to request the Department’s position on how the United States applies the reporting provisions</w:t>
      </w:r>
      <w:r>
        <w:t xml:space="preserve"> </w:t>
      </w:r>
      <w:r>
        <w:t xml:space="preserve">of the Treaty on Principles Governing the Activities of States in the Exploration and Use of Outer Space,</w:t>
      </w:r>
      <w:r>
        <w:t xml:space="preserve"> </w:t>
      </w:r>
      <w:r>
        <w:t xml:space="preserve">including the Moon and Other Celestial Bodies (1967), to unidentified anomalous phenomena (</w:t>
      </w:r>
      <w:r>
        <w:t xml:space="preserve">“</w:t>
      </w:r>
      <w:r>
        <w:t xml:space="preserve">UAP</w:t>
      </w:r>
      <w:r>
        <w:t xml:space="preserve">”</w:t>
      </w:r>
      <w:r>
        <w:t xml:space="preserve">).</w:t>
      </w:r>
    </w:p>
    <w:p>
      <w:pPr>
        <w:pStyle w:val="BodyText"/>
      </w:pPr>
      <w:r>
        <w:t xml:space="preserve">Article V, third paragraph, requires States Parties to</w:t>
      </w:r>
      <w:r>
        <w:t xml:space="preserve"> </w:t>
      </w:r>
      <w:r>
        <w:t xml:space="preserve">“</w:t>
      </w:r>
      <w:r>
        <w:t xml:space="preserve">immediately inform the other States Parties to</w:t>
      </w:r>
      <w:r>
        <w:t xml:space="preserve"> </w:t>
      </w:r>
      <w:r>
        <w:t xml:space="preserve">the Treaty or the Secretary-General of the United Nations of any phenomena they discover in outer space,</w:t>
      </w:r>
      <w:r>
        <w:t xml:space="preserve"> </w:t>
      </w:r>
      <w:r>
        <w:t xml:space="preserve">including the Moon and other celestial bodies, which could constitute a danger to the life or health of</w:t>
      </w:r>
      <w:r>
        <w:t xml:space="preserve"> </w:t>
      </w:r>
      <w:r>
        <w:t xml:space="preserve">astronauts.</w:t>
      </w:r>
      <w:r>
        <w:t xml:space="preserve">”</w:t>
      </w:r>
      <w:r>
        <w:t xml:space="preserve"> </w:t>
      </w:r>
      <w:r>
        <w:t xml:space="preserve">Article XI requires States Parties conducting activities in outer space to inform the</w:t>
      </w:r>
      <w:r>
        <w:t xml:space="preserve"> </w:t>
      </w:r>
      <w:r>
        <w:t xml:space="preserve">Secretary-General, the public, and the international scientific community,</w:t>
      </w:r>
      <w:r>
        <w:t xml:space="preserve"> </w:t>
      </w:r>
      <w:r>
        <w:t xml:space="preserve">“</w:t>
      </w:r>
      <w:r>
        <w:t xml:space="preserve">to the greatest extent</w:t>
      </w:r>
      <w:r>
        <w:t xml:space="preserve"> </w:t>
      </w:r>
      <w:r>
        <w:t xml:space="preserve">feasible and practicable,</w:t>
      </w:r>
      <w:r>
        <w:t xml:space="preserve">”</w:t>
      </w:r>
      <w:r>
        <w:t xml:space="preserve"> </w:t>
      </w:r>
      <w:r>
        <w:t xml:space="preserve">of the nature, conduct, locations, and results of those activities. Article VI</w:t>
      </w:r>
      <w:r>
        <w:t xml:space="preserve"> </w:t>
      </w:r>
      <w:r>
        <w:t xml:space="preserve">makes States Parties internationally responsible for national activities in outer space, including those</w:t>
      </w:r>
      <w:r>
        <w:t xml:space="preserve"> </w:t>
      </w:r>
      <w:r>
        <w:t xml:space="preserve">of nongovernmental entities.</w:t>
      </w:r>
    </w:p>
    <w:p>
      <w:pPr>
        <w:pStyle w:val="BodyText"/>
      </w:pPr>
      <w:r>
        <w:t xml:space="preserve">Congress has defined UAP to include objects in space and transmedium objects, 50 U.S.C. §3373(n)(8), and</w:t>
      </w:r>
      <w:r>
        <w:t xml:space="preserve"> </w:t>
      </w:r>
      <w:r>
        <w:t xml:space="preserve">has directed the All-domain Anomaly Resolution Office to investigate them. The United States has also</w:t>
      </w:r>
      <w:r>
        <w:t xml:space="preserve"> </w:t>
      </w:r>
      <w:r>
        <w:t xml:space="preserve">participated in United Nations consideration of the subject (General Assembly Decision 33/426 (1978)).</w:t>
      </w:r>
    </w:p>
    <w:p>
      <w:pPr>
        <w:pStyle w:val="BodyText"/>
      </w:pPr>
      <w:r>
        <w:t xml:space="preserve">I respectfully ask the Department to state:</w:t>
      </w:r>
    </w:p>
    <w:p>
      <w:pPr>
        <w:pStyle w:val="Compact"/>
        <w:numPr>
          <w:ilvl w:val="0"/>
          <w:numId w:val="1001"/>
        </w:numPr>
      </w:pPr>
      <w:r>
        <w:t xml:space="preserve">whether the United States considers UAP observed in outer space, or encountered by astronauts or</w:t>
      </w:r>
      <w:r>
        <w:t xml:space="preserve"> </w:t>
      </w:r>
      <w:r>
        <w:t xml:space="preserve">crewed or uncrewed spacecraft, to be</w:t>
      </w:r>
      <w:r>
        <w:t xml:space="preserve"> </w:t>
      </w:r>
      <w:r>
        <w:t xml:space="preserve">“</w:t>
      </w:r>
      <w:r>
        <w:t xml:space="preserve">phenomena … which could constitute a danger to the life or</w:t>
      </w:r>
      <w:r>
        <w:t xml:space="preserve"> </w:t>
      </w:r>
      <w:r>
        <w:t xml:space="preserve">health of astronauts</w:t>
      </w:r>
      <w:r>
        <w:t xml:space="preserve">”</w:t>
      </w:r>
      <w:r>
        <w:t xml:space="preserve"> </w:t>
      </w:r>
      <w:r>
        <w:t xml:space="preserve">within Article V;</w:t>
      </w:r>
    </w:p>
    <w:p>
      <w:pPr>
        <w:pStyle w:val="Compact"/>
        <w:numPr>
          <w:ilvl w:val="0"/>
          <w:numId w:val="1001"/>
        </w:numPr>
      </w:pPr>
      <w:r>
        <w:t xml:space="preserve">whether the United States has ever informed other States Parties or the Secretary-General of any such</w:t>
      </w:r>
      <w:r>
        <w:t xml:space="preserve"> </w:t>
      </w:r>
      <w:r>
        <w:t xml:space="preserve">phenomena under Article V, and if so when;</w:t>
      </w:r>
    </w:p>
    <w:p>
      <w:pPr>
        <w:pStyle w:val="Compact"/>
        <w:numPr>
          <w:ilvl w:val="0"/>
          <w:numId w:val="1001"/>
        </w:numPr>
      </w:pPr>
      <w:r>
        <w:t xml:space="preserve">how the United States applies Article XI to UAP-related space activities, including any activities</w:t>
      </w:r>
      <w:r>
        <w:t xml:space="preserve"> </w:t>
      </w:r>
      <w:r>
        <w:t xml:space="preserve">involving material that the Government assesses to be of unknown or non-human origin;</w:t>
      </w:r>
    </w:p>
    <w:p>
      <w:pPr>
        <w:pStyle w:val="Compact"/>
        <w:numPr>
          <w:ilvl w:val="0"/>
          <w:numId w:val="1001"/>
        </w:numPr>
      </w:pPr>
      <w:r>
        <w:t xml:space="preserve">whether the United States requires U.S. nongovernmental space operators, under Article VI and its</w:t>
      </w:r>
      <w:r>
        <w:t xml:space="preserve"> </w:t>
      </w:r>
      <w:r>
        <w:t xml:space="preserve">licensing regimes, to report UAP encounters; and</w:t>
      </w:r>
    </w:p>
    <w:p>
      <w:pPr>
        <w:pStyle w:val="Compact"/>
        <w:numPr>
          <w:ilvl w:val="0"/>
          <w:numId w:val="1001"/>
        </w:numPr>
      </w:pPr>
      <w:r>
        <w:t xml:space="preserve">the Department’s position on the effect of General Assembly Decision 33/426.</w:t>
      </w:r>
    </w:p>
    <w:p>
      <w:pPr>
        <w:pStyle w:val="FirstParagraph"/>
      </w:pPr>
      <w:r>
        <w:t xml:space="preserve">I also request, under the Freedom of Information Act, 5 U.S.C. §552, copies of records reflecting the</w:t>
      </w:r>
      <w:r>
        <w:t xml:space="preserve"> </w:t>
      </w:r>
      <w:r>
        <w:t xml:space="preserve">Department’s analysis of these questions, including memoranda of the Office of the Legal Adviser and</w:t>
      </w:r>
      <w:r>
        <w:t xml:space="preserve"> </w:t>
      </w:r>
      <w:r>
        <w:t xml:space="preserve">communications with the UN Office for Outer Space Affairs concerning UAP, from January 1, 1967 to the</w:t>
      </w:r>
      <w:r>
        <w:t xml:space="preserve"> </w:t>
      </w:r>
      <w:r>
        <w:t xml:space="preserve">present. [Add fee category and fee waiver request; see</w:t>
      </w:r>
      <w:r>
        <w:t xml:space="preserve"> </w:t>
      </w:r>
      <w:hyperlink r:id="rId20">
        <w:r>
          <w:rPr>
            <w:rStyle w:val="Hyperlink"/>
          </w:rPr>
          <w:t xml:space="preserve">Form A2-1</w:t>
        </w:r>
      </w:hyperlink>
      <w:r>
        <w:t xml:space="preserve">.]</w:t>
      </w:r>
    </w:p>
    <w:p>
      <w:pPr>
        <w:pStyle w:val="BodyText"/>
      </w:pPr>
      <w:r>
        <w:t xml:space="preserve">Thank you for your attention to this request.</w:t>
      </w:r>
    </w:p>
    <w:p>
      <w:pPr>
        <w:pStyle w:val="BodyText"/>
      </w:pPr>
      <w:r>
        <w:t xml:space="preserve">Sincerely,</w:t>
      </w:r>
      <w:r>
        <w:br/>
      </w:r>
      <w:r>
        <w:t xml:space="preserve">[Name]</w:t>
      </w:r>
    </w:p>
    <w:bookmarkEnd w:id="21"/>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nhilaw.com/forms/a2-1.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0" Type="http://schemas.openxmlformats.org/officeDocument/2006/relationships/hyperlink" Target="https://nhilaw.com/forms/a2-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A4-3. Letter to the Department of State Requesting the U.S. Position on Outer Space Treaty Reporting of UAP</dc:title>
  <dc:creator>nhilaw.com</dc:creator>
  <cp:keywords/>
  <dcterms:created xsi:type="dcterms:W3CDTF">2026-10-19T03:12:10Z</dcterms:created>
  <dcterms:modified xsi:type="dcterms:W3CDTF">2026-10-19T03:12:10Z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