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Is There a Duty to Disclose? Constitutional, Statutory, and International Sources of an Obligation to Reveal the Existence of NHI</w:t>
      </w:r>
    </w:p>
    <w:p>
      <w:pPr>
        <w:pStyle w:val="Subtitle"/>
      </w:pPr>
      <w:r>
        <w:t xml:space="preserve">Version 1.10 · October 2026 · nhilaw.com/issues/a4.html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No court is likely to order the government to say that NHI exist: there is no general constitutional right of access to government information (</w:t>
      </w:r>
      <w:r>
        <w:rPr>
          <w:iCs/>
          <w:i/>
        </w:rPr>
        <w:t xml:space="preserve">Houchins</w:t>
      </w:r>
      <w:r>
        <w:t xml:space="preserve">;</w:t>
      </w:r>
      <w:r>
        <w:t xml:space="preserve"> </w:t>
      </w:r>
      <w:r>
        <w:rPr>
          <w:iCs/>
          <w:i/>
        </w:rPr>
        <w:t xml:space="preserve">McBurney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Real duties are indirect: records statutes (FOIA; the UAP Records Collection), reporting to Congress (50 U.S.C. §§3091, 3373), and treaty duties under OST Articles V and XI.</w:t>
      </w:r>
    </w:p>
    <w:p>
      <w:pPr>
        <w:pStyle w:val="Compact"/>
        <w:numPr>
          <w:ilvl w:val="0"/>
          <w:numId w:val="1001"/>
        </w:numPr>
      </w:pPr>
      <w:r>
        <w:t xml:space="preserve">The Statement and Account Clause reaches secret budgets in principle, but taxpayers lack standing to enforce it (</w:t>
      </w:r>
      <w:r>
        <w:rPr>
          <w:iCs/>
          <w:i/>
        </w:rPr>
        <w:t xml:space="preserve">Richardson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Statutory disclosure duties create standing for those denied the information (</w:t>
      </w:r>
      <w:r>
        <w:rPr>
          <w:iCs/>
          <w:i/>
        </w:rPr>
        <w:t xml:space="preserve">Akins</w:t>
      </w:r>
      <w:r>
        <w:t xml:space="preserve">;</w:t>
      </w:r>
      <w:r>
        <w:t xml:space="preserve"> </w:t>
      </w:r>
      <w:r>
        <w:rPr>
          <w:iCs/>
          <w:i/>
        </w:rPr>
        <w:t xml:space="preserve">Public Citizen</w:t>
      </w:r>
      <w:r>
        <w:t xml:space="preserve">), so a disclosure statute with a mandatory reporting duty could be enforced in court.</w:t>
      </w:r>
    </w:p>
    <w:p>
      <w:pPr>
        <w:pStyle w:val="Compact"/>
        <w:numPr>
          <w:ilvl w:val="0"/>
          <w:numId w:val="1001"/>
        </w:numPr>
      </w:pPr>
      <w:r>
        <w:t xml:space="preserve">Selective, viewpoint-based release of UAP information can be challenged under</w:t>
      </w:r>
      <w:r>
        <w:t xml:space="preserve"> </w:t>
      </w:r>
      <w:r>
        <w:rPr>
          <w:iCs/>
          <w:i/>
        </w:rPr>
        <w:t xml:space="preserve">Boardman v. Inslee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 path to a duty to disclose is legislative;</w:t>
      </w:r>
      <w:r>
        <w:t xml:space="preserve"> </w:t>
      </w:r>
      <w:hyperlink r:id="rId21">
        <w:r>
          <w:rPr>
            <w:rStyle w:val="Hyperlink"/>
          </w:rPr>
          <w:t xml:space="preserve">Form A4-1</w:t>
        </w:r>
      </w:hyperlink>
      <w:r>
        <w:t xml:space="preserve"> </w:t>
      </w:r>
      <w:r>
        <w:t xml:space="preserve">is a model provision.</w:t>
      </w:r>
    </w:p>
    <w:p>
      <w:r>
        <w:pict>
          <v:rect style="width:0;height:1.5pt" o:hralign="center" o:hrstd="t" o:hr="t"/>
        </w:pict>
      </w:r>
    </w:p>
    <w:bookmarkEnd w:id="22"/>
    <w:bookmarkStart w:id="25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If the United States knows that non-human intelligence exists, no court is likely to order it to say</w:t>
      </w:r>
      <w:r>
        <w:t xml:space="preserve"> </w:t>
      </w:r>
      <w:r>
        <w:t xml:space="preserve">so. The Constitution does not give the public a general right of access to information the government</w:t>
      </w:r>
      <w:r>
        <w:t xml:space="preserve"> </w:t>
      </w:r>
      <w:r>
        <w:t xml:space="preserve">controls, and the Supreme Court has repeatedly described disclosure of such information as</w:t>
      </w:r>
      <w:r>
        <w:t xml:space="preserve"> </w:t>
      </w:r>
      <w:r>
        <w:t xml:space="preserve">“</w:t>
      </w:r>
      <w:r>
        <w:t xml:space="preserve">a task which</w:t>
      </w:r>
      <w:r>
        <w:t xml:space="preserve"> </w:t>
      </w:r>
      <w:r>
        <w:t xml:space="preserve">the Constitution has left to the political processes.</w:t>
      </w:r>
      <w:r>
        <w:t xml:space="preserve">”</w:t>
      </w:r>
      <w:r>
        <w:t xml:space="preserve"> </w:t>
      </w:r>
      <w:r>
        <w:rPr>
          <w:iCs/>
          <w:i/>
        </w:rPr>
        <w:t xml:space="preserve">Houchins v. KQED, Inc.</w:t>
      </w:r>
      <w:r>
        <w:t xml:space="preserve">, 438 U.S. 1, 12 (1978)</w:t>
      </w:r>
      <w:r>
        <w:t xml:space="preserve"> </w:t>
      </w:r>
      <w:r>
        <w:t xml:space="preserve">(plurality opinion).</w:t>
      </w:r>
    </w:p>
    <w:p>
      <w:pPr>
        <w:pStyle w:val="BodyText"/>
      </w:pPr>
      <w:r>
        <w:t xml:space="preserve">Duties do exist, but they are narrower and indirect: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Statutory records duties.</w:t>
      </w:r>
      <w:r>
        <w:t xml:space="preserve"> </w:t>
      </w:r>
      <w:r>
        <w:t xml:space="preserve">Congress has required agencies to transmit UAP records, including</w:t>
      </w:r>
      <w:r>
        <w:t xml:space="preserve"> </w:t>
      </w:r>
      <w:r>
        <w:t xml:space="preserve">records relating to</w:t>
      </w:r>
      <w:r>
        <w:t xml:space="preserve"> </w:t>
      </w:r>
      <w:r>
        <w:t xml:space="preserve">“</w:t>
      </w:r>
      <w:r>
        <w:t xml:space="preserve">technologies of unknown origin, and non-human intelligence,</w:t>
      </w:r>
      <w:r>
        <w:t xml:space="preserve">”</w:t>
      </w:r>
      <w:r>
        <w:t xml:space="preserve"> </w:t>
      </w:r>
      <w:r>
        <w:t xml:space="preserve">to the National</w:t>
      </w:r>
      <w:r>
        <w:t xml:space="preserve"> </w:t>
      </w:r>
      <w:r>
        <w:t xml:space="preserve">Archives and to release them unless a postponement ground is shown by clear and convincing evidence,</w:t>
      </w:r>
      <w:r>
        <w:t xml:space="preserve"> </w:t>
      </w:r>
      <w:r>
        <w:t xml:space="preserve">with a 25-year outside limit (</w:t>
      </w:r>
      <w:hyperlink r:id="rId23">
        <w:r>
          <w:rPr>
            <w:rStyle w:val="Hyperlink"/>
          </w:rPr>
          <w:t xml:space="preserve">Issue A3</w:t>
        </w:r>
      </w:hyperlink>
      <w:r>
        <w:t xml:space="preserve">). FOIA gives requesters a cause of action for specific records.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Reporting to Congress.</w:t>
      </w:r>
      <w:r>
        <w:t xml:space="preserve"> </w:t>
      </w:r>
      <w:r>
        <w:t xml:space="preserve">AARO must report to Congress, including on restricted access programs not</w:t>
      </w:r>
      <w:r>
        <w:t xml:space="preserve"> </w:t>
      </w:r>
      <w:r>
        <w:t xml:space="preserve">previously reported (50 U.S.C. §3373), and intelligence agencies must keep the intelligence committees</w:t>
      </w:r>
      <w:r>
        <w:t xml:space="preserve"> </w:t>
      </w:r>
      <w:r>
        <w:t xml:space="preserve">fully and currently informed (50 U.S.C. §3091).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Treaty duties.</w:t>
      </w:r>
      <w:r>
        <w:t xml:space="preserve"> </w:t>
      </w:r>
      <w:r>
        <w:t xml:space="preserve">The Outer Space Treaty requires states to inform other states or the UN</w:t>
      </w:r>
      <w:r>
        <w:t xml:space="preserve"> </w:t>
      </w:r>
      <w:r>
        <w:t xml:space="preserve">Secretary-General immediately of phenomena discovered in outer space that could endanger astronauts</w:t>
      </w:r>
      <w:r>
        <w:t xml:space="preserve"> </w:t>
      </w:r>
      <w:r>
        <w:t xml:space="preserve">(Art. V), and to inform the public and the scientific community of the results of space activities</w:t>
      </w:r>
      <w:r>
        <w:t xml:space="preserve"> </w:t>
      </w:r>
      <w:r>
        <w:t xml:space="preserve">“</w:t>
      </w:r>
      <w:r>
        <w:t xml:space="preserve">to the greatest extent feasible and practicable</w:t>
      </w:r>
      <w:r>
        <w:t xml:space="preserve">”</w:t>
      </w:r>
      <w:r>
        <w:t xml:space="preserve"> </w:t>
      </w:r>
      <w:r>
        <w:t xml:space="preserve">(Art. XI).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Duties tied to danger.</w:t>
      </w:r>
      <w:r>
        <w:t xml:space="preserve"> </w:t>
      </w:r>
      <w:r>
        <w:t xml:space="preserve">Where government knowledge concerns a specific danger to identifiable</w:t>
      </w:r>
      <w:r>
        <w:t xml:space="preserve"> </w:t>
      </w:r>
      <w:r>
        <w:t xml:space="preserve">people, doctrines of state-created danger, tort duties to warn, and aviation-safety obligations may</w:t>
      </w:r>
      <w:r>
        <w:t xml:space="preserve"> </w:t>
      </w:r>
      <w:r>
        <w:t xml:space="preserve">require disclosure to those people (Issues D4, D6).</w:t>
      </w:r>
    </w:p>
    <w:p>
      <w:pPr>
        <w:pStyle w:val="FirstParagraph"/>
      </w:pPr>
      <w:r>
        <w:t xml:space="preserve">Whether Congress itself has been told is part of the dispute. A former director of the Navy’s UAP Task Force writes</w:t>
      </w:r>
      <w:r>
        <w:t xml:space="preserve"> </w:t>
      </w:r>
      <w:r>
        <w:t xml:space="preserve">that the crash-retrieval program he describes</w:t>
      </w:r>
      <w:r>
        <w:t xml:space="preserve"> </w:t>
      </w:r>
      <w:r>
        <w:t xml:space="preserve">“</w:t>
      </w:r>
      <w:r>
        <w:t xml:space="preserve">was never briefed to Congress,</w:t>
      </w:r>
      <w:r>
        <w:t xml:space="preserve">”</w:t>
      </w:r>
      <w:r>
        <w:t xml:space="preserve"> </w:t>
      </w:r>
      <w:r>
        <w:t xml:space="preserve">and that senators who sought access</w:t>
      </w:r>
      <w:r>
        <w:t xml:space="preserve"> </w:t>
      </w:r>
      <w:r>
        <w:t xml:space="preserve">to facilities he identified to committee staff were refused (Jay Stratton,</w:t>
      </w:r>
      <w:r>
        <w:t xml:space="preserve"> </w:t>
      </w:r>
      <w:r>
        <w:rPr>
          <w:iCs/>
          <w:i/>
        </w:rPr>
        <w:t xml:space="preserve">Out of the Shadows</w:t>
      </w:r>
      <w:r>
        <w:t xml:space="preserve"> </w:t>
      </w:r>
      <w:r>
        <w:t xml:space="preserve">chs. 8, 33 (2026)).</w:t>
      </w:r>
      <w:r>
        <w:t xml:space="preserve"> </w:t>
      </w:r>
      <w:r>
        <w:t xml:space="preserve">Those are allegations, but they explain why reporting duties that run only to Congress (50 U.S.C. §§3091, 3373) do</w:t>
      </w:r>
      <w:r>
        <w:t xml:space="preserve"> </w:t>
      </w:r>
      <w:r>
        <w:t xml:space="preserve">little for the public unless Congress can compel compliance and publish what it learns (</w:t>
      </w:r>
      <w:hyperlink r:id="rId24">
        <w:r>
          <w:rPr>
            <w:rStyle w:val="Hyperlink"/>
          </w:rPr>
          <w:t xml:space="preserve">Issue D1</w:t>
        </w:r>
      </w:hyperlink>
      <w:r>
        <w:t xml:space="preserve">).</w:t>
      </w:r>
    </w:p>
    <w:p>
      <w:pPr>
        <w:pStyle w:val="BodyText"/>
      </w:pPr>
      <w:r>
        <w:t xml:space="preserve">The rest is political. The practical path to a disclosure duty is legislative: a statute with a</w:t>
      </w:r>
      <w:r>
        <w:t xml:space="preserve"> </w:t>
      </w:r>
      <w:r>
        <w:t xml:space="preserve">presumption of disclosure, an independent board, a firm deadline, and judicial review. The pending House</w:t>
      </w:r>
      <w:r>
        <w:t xml:space="preserve"> </w:t>
      </w:r>
      <w:r>
        <w:t xml:space="preserve">UAP Disclosure Act contains most of these features (</w:t>
      </w:r>
      <w:hyperlink r:id="rId23">
        <w:r>
          <w:rPr>
            <w:rStyle w:val="Hyperlink"/>
          </w:rPr>
          <w:t xml:space="preserve">Issue A3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5"/>
    <w:bookmarkStart w:id="33" w:name="federal-constitutional-law"/>
    <w:p>
      <w:pPr>
        <w:pStyle w:val="Heading2"/>
      </w:pPr>
      <w:r>
        <w:t xml:space="preserve">2. Federal constitutional law</w:t>
      </w:r>
    </w:p>
    <w:bookmarkStart w:id="26" w:name="no-general-right-of-access"/>
    <w:p>
      <w:pPr>
        <w:pStyle w:val="Heading3"/>
      </w:pPr>
      <w:r>
        <w:t xml:space="preserve">2.1 No general right of access</w:t>
      </w:r>
    </w:p>
    <w:p>
      <w:pPr>
        <w:pStyle w:val="Compact"/>
        <w:numPr>
          <w:ilvl w:val="0"/>
          <w:numId w:val="1003"/>
        </w:numPr>
      </w:pPr>
      <w:r>
        <w:rPr>
          <w:iCs/>
          <w:i/>
        </w:rPr>
        <w:t xml:space="preserve">Houchins v. KQED, Inc.</w:t>
      </w:r>
      <w:r>
        <w:t xml:space="preserve">, 438 U.S. 1, 15 (1978) (plurality): neither the First nor the Fourteenth</w:t>
      </w:r>
      <w:r>
        <w:t xml:space="preserve"> </w:t>
      </w:r>
      <w:r>
        <w:t xml:space="preserve">Amendment</w:t>
      </w:r>
      <w:r>
        <w:t xml:space="preserve"> </w:t>
      </w:r>
      <w:r>
        <w:t xml:space="preserve">“</w:t>
      </w:r>
      <w:r>
        <w:t xml:space="preserve">mandates a right of access to government information or sources of information within the</w:t>
      </w:r>
      <w:r>
        <w:t xml:space="preserve"> </w:t>
      </w:r>
      <w:r>
        <w:t xml:space="preserve">government’s control.</w:t>
      </w:r>
      <w:r>
        <w:t xml:space="preserve">”</w:t>
      </w:r>
      <w:r>
        <w:t xml:space="preserve"> </w:t>
      </w:r>
      <w:r>
        <w:t xml:space="preserve">Justice Stewart concurred in the judgment on the narrower ground that the press</w:t>
      </w:r>
      <w:r>
        <w:t xml:space="preserve"> </w:t>
      </w:r>
      <w:r>
        <w:t xml:space="preserve">has no greater right of access than the public.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16.</w:t>
      </w:r>
    </w:p>
    <w:p>
      <w:pPr>
        <w:pStyle w:val="Compact"/>
        <w:numPr>
          <w:ilvl w:val="0"/>
          <w:numId w:val="1003"/>
        </w:numPr>
      </w:pPr>
      <w:r>
        <w:rPr>
          <w:iCs/>
          <w:i/>
        </w:rPr>
        <w:t xml:space="preserve">McBurney v. Young</w:t>
      </w:r>
      <w:r>
        <w:t xml:space="preserve">, 569 U.S. 221, 232 (2013):</w:t>
      </w:r>
      <w:r>
        <w:t xml:space="preserve"> </w:t>
      </w:r>
      <w:r>
        <w:t xml:space="preserve">“</w:t>
      </w:r>
      <w:r>
        <w:t xml:space="preserve">This Court has repeatedly made clear that there is no</w:t>
      </w:r>
      <w:r>
        <w:t xml:space="preserve"> </w:t>
      </w:r>
      <w:r>
        <w:t xml:space="preserve">constitutional right to obtain all the information provided by FOIA laws.</w:t>
      </w:r>
      <w:r>
        <w:t xml:space="preserve">”</w:t>
      </w:r>
    </w:p>
    <w:p>
      <w:pPr>
        <w:pStyle w:val="Compact"/>
        <w:numPr>
          <w:ilvl w:val="0"/>
          <w:numId w:val="1003"/>
        </w:numPr>
      </w:pPr>
      <w:r>
        <w:rPr>
          <w:iCs/>
          <w:i/>
        </w:rPr>
        <w:t xml:space="preserve">Boardman v. Inslee</w:t>
      </w:r>
      <w:r>
        <w:t xml:space="preserve">, 978 F.3d 1092, 1104 (9th Cir. 2020), restating</w:t>
      </w:r>
      <w:r>
        <w:t xml:space="preserve"> </w:t>
      </w:r>
      <w:r>
        <w:rPr>
          <w:iCs/>
          <w:i/>
        </w:rPr>
        <w:t xml:space="preserve">Houchins</w:t>
      </w:r>
      <w:r>
        <w:t xml:space="preserve"> </w:t>
      </w:r>
      <w:r>
        <w:t xml:space="preserve">as</w:t>
      </w:r>
      <w:r>
        <w:t xml:space="preserve"> </w:t>
      </w:r>
      <w:r>
        <w:t xml:space="preserve">“</w:t>
      </w:r>
      <w:r>
        <w:t xml:space="preserve">the well-settled</w:t>
      </w:r>
      <w:r>
        <w:t xml:space="preserve"> </w:t>
      </w:r>
      <w:r>
        <w:t xml:space="preserve">principle that the First Amendment does not guarantee a general</w:t>
      </w:r>
      <w:r>
        <w:t xml:space="preserve"> </w:t>
      </w:r>
      <w:r>
        <w:t xml:space="preserve">‘</w:t>
      </w:r>
      <w:r>
        <w:t xml:space="preserve">right of access to government</w:t>
      </w:r>
      <w:r>
        <w:t xml:space="preserve"> </w:t>
      </w:r>
      <w:r>
        <w:t xml:space="preserve">information or sources of information within the government’s control.</w:t>
      </w:r>
      <w:r>
        <w:t xml:space="preserve">’</w:t>
      </w:r>
      <w:r>
        <w:t xml:space="preserve">”</w:t>
      </w:r>
    </w:p>
    <w:p>
      <w:pPr>
        <w:pStyle w:val="Compact"/>
        <w:numPr>
          <w:ilvl w:val="0"/>
          <w:numId w:val="1003"/>
        </w:numPr>
      </w:pPr>
      <w:r>
        <w:t xml:space="preserve">See also</w:t>
      </w:r>
      <w:r>
        <w:t xml:space="preserve"> </w:t>
      </w:r>
      <w:r>
        <w:rPr>
          <w:iCs/>
          <w:i/>
        </w:rPr>
        <w:t xml:space="preserve">Pell v. Procunier</w:t>
      </w:r>
      <w:r>
        <w:t xml:space="preserve">, 417 U.S. 817 (1974);</w:t>
      </w:r>
      <w:r>
        <w:t xml:space="preserve"> </w:t>
      </w:r>
      <w:r>
        <w:rPr>
          <w:iCs/>
          <w:i/>
        </w:rPr>
        <w:t xml:space="preserve">Saxbe v. Washington Post Co.</w:t>
      </w:r>
      <w:r>
        <w:t xml:space="preserve">, 417 U.S. 843 (1974).</w:t>
      </w:r>
    </w:p>
    <w:bookmarkEnd w:id="26"/>
    <w:bookmarkStart w:id="29" w:name="the-exceptions"/>
    <w:p>
      <w:pPr>
        <w:pStyle w:val="Heading3"/>
      </w:pPr>
      <w:r>
        <w:t xml:space="preserve">2.2 The exceptions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Judicial proceedings.</w:t>
      </w:r>
      <w:r>
        <w:t xml:space="preserve"> </w:t>
      </w:r>
      <w:r>
        <w:t xml:space="preserve">The public has a qualified First Amendment right of access to criminal</w:t>
      </w:r>
      <w:r>
        <w:t xml:space="preserve"> </w:t>
      </w:r>
      <w:r>
        <w:t xml:space="preserve">trials and some related proceedings, determined by</w:t>
      </w:r>
      <w:r>
        <w:t xml:space="preserve"> </w:t>
      </w:r>
      <w:r>
        <w:t xml:space="preserve">“</w:t>
      </w:r>
      <w:r>
        <w:t xml:space="preserve">experience and logic.</w:t>
      </w:r>
      <w:r>
        <w:t xml:space="preserve">”</w:t>
      </w:r>
      <w:r>
        <w:t xml:space="preserve"> </w:t>
      </w:r>
      <w:r>
        <w:t xml:space="preserve">*Richmond Newspapers, Inc.</w:t>
      </w:r>
    </w:p>
    <w:p>
      <w:pPr>
        <w:pStyle w:val="Compact"/>
        <w:numPr>
          <w:ilvl w:val="0"/>
          <w:numId w:val="1000"/>
        </w:numPr>
      </w:pPr>
      <w:r>
        <w:t xml:space="preserve">v. Virginia</w:t>
      </w:r>
      <w:r>
        <w:rPr>
          <w:iCs/>
          <w:i/>
        </w:rPr>
        <w:t xml:space="preserve">, 448 U.S. 555 (1980);</w:t>
      </w:r>
      <w:r>
        <w:rPr>
          <w:iCs/>
          <w:i/>
        </w:rPr>
        <w:t xml:space="preserve"> </w:t>
      </w:r>
      <w:r>
        <w:t xml:space="preserve">Press-Enterprise Co. v. Superior Court*, 478 U.S. 1 (1986). The</w:t>
      </w:r>
      <w:r>
        <w:t xml:space="preserve"> </w:t>
      </w:r>
      <w:r>
        <w:t xml:space="preserve">right bears on UAP litigation (sealing, closed hearings;</w:t>
      </w:r>
      <w:r>
        <w:t xml:space="preserve"> </w:t>
      </w:r>
      <w:hyperlink r:id="rId27">
        <w:r>
          <w:rPr>
            <w:rStyle w:val="Hyperlink"/>
          </w:rPr>
          <w:t xml:space="preserve">Issue A1</w:t>
        </w:r>
      </w:hyperlink>
      <w:r>
        <w:t xml:space="preserve">) and on any truth commission that</w:t>
      </w:r>
      <w:r>
        <w:t xml:space="preserve"> </w:t>
      </w:r>
      <w:r>
        <w:t xml:space="preserve">conducts adjudicative proceedings (</w:t>
      </w:r>
      <w:hyperlink r:id="rId28">
        <w:r>
          <w:rPr>
            <w:rStyle w:val="Hyperlink"/>
          </w:rPr>
          <w:t xml:space="preserve">Issue B3</w:t>
        </w:r>
      </w:hyperlink>
      <w:r>
        <w:t xml:space="preserve">). It does not reach executive records.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Viewpoint discrimination in selective disclosure.</w:t>
      </w:r>
      <w:r>
        <w:t xml:space="preserve"> </w:t>
      </w:r>
      <w:r>
        <w:rPr>
          <w:iCs/>
          <w:i/>
        </w:rPr>
        <w:t xml:space="preserve">Boardman</w:t>
      </w:r>
      <w:r>
        <w:t xml:space="preserve"> </w:t>
      </w:r>
      <w:r>
        <w:t xml:space="preserve">holds that although disclosure of</w:t>
      </w:r>
      <w:r>
        <w:t xml:space="preserve"> </w:t>
      </w:r>
      <w:r>
        <w:t xml:space="preserve">government information is generally left to the political process,</w:t>
      </w:r>
      <w:r>
        <w:t xml:space="preserve"> </w:t>
      </w:r>
      <w:r>
        <w:t xml:space="preserve">“</w:t>
      </w:r>
      <w:r>
        <w:t xml:space="preserve">the First Amendment forbids a</w:t>
      </w:r>
      <w:r>
        <w:t xml:space="preserve"> </w:t>
      </w:r>
      <w:r>
        <w:t xml:space="preserve">state from discriminating invidiously among viewpoints in the provision of information within its</w:t>
      </w:r>
      <w:r>
        <w:t xml:space="preserve"> </w:t>
      </w:r>
      <w:r>
        <w:t xml:space="preserve">control.</w:t>
      </w:r>
      <w:r>
        <w:t xml:space="preserve">”</w:t>
      </w:r>
      <w:r>
        <w:t xml:space="preserve"> </w:t>
      </w:r>
      <w:r>
        <w:t xml:space="preserve">978 F.3d at 1098. If the government were to release UAP information selectively to favor or</w:t>
      </w:r>
      <w:r>
        <w:t xml:space="preserve"> </w:t>
      </w:r>
      <w:r>
        <w:t xml:space="preserve">disfavor particular speakers or viewpoints (for example, providing access only to outlets that adopt</w:t>
      </w:r>
      <w:r>
        <w:t xml:space="preserve"> </w:t>
      </w:r>
      <w:r>
        <w:t xml:space="preserve">a debunking position),</w:t>
      </w:r>
      <w:r>
        <w:t xml:space="preserve"> </w:t>
      </w:r>
      <w:r>
        <w:rPr>
          <w:iCs/>
          <w:i/>
        </w:rPr>
        <w:t xml:space="preserve">Boardman</w:t>
      </w:r>
      <w:r>
        <w:t xml:space="preserve"> </w:t>
      </w:r>
      <w:r>
        <w:t xml:space="preserve">supplies a theory. The government-speech doctrine, which lets the</w:t>
      </w:r>
      <w:r>
        <w:t xml:space="preserve"> </w:t>
      </w:r>
      <w:r>
        <w:t xml:space="preserve">government choose its own message (</w:t>
      </w:r>
      <w:r>
        <w:rPr>
          <w:iCs/>
          <w:i/>
        </w:rPr>
        <w:t xml:space="preserve">Pleasant Grove City v. Summum</w:t>
      </w:r>
      <w:r>
        <w:t xml:space="preserve">, 555 U.S. 460 (2009)), limits the</w:t>
      </w:r>
      <w:r>
        <w:t xml:space="preserve"> </w:t>
      </w:r>
      <w:r>
        <w:t xml:space="preserve">theory to discrimination in access; the content of the government’s own statements is outside it.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The right to receive information from willing speakers.</w:t>
      </w:r>
      <w:r>
        <w:t xml:space="preserve"> </w:t>
      </w:r>
      <w:r>
        <w:rPr>
          <w:iCs/>
          <w:i/>
        </w:rPr>
        <w:t xml:space="preserve">Stanley v. Georgia</w:t>
      </w:r>
      <w:r>
        <w:t xml:space="preserve">, 394 U.S. 557 (1969);</w:t>
      </w:r>
      <w:r>
        <w:t xml:space="preserve"> </w:t>
      </w:r>
      <w:r>
        <w:rPr>
          <w:iCs/>
          <w:i/>
        </w:rPr>
        <w:t xml:space="preserve">Kleindienst v. Mandel</w:t>
      </w:r>
      <w:r>
        <w:t xml:space="preserve">, 408 U.S. 753 (1972);</w:t>
      </w:r>
      <w:r>
        <w:t xml:space="preserve"> </w:t>
      </w:r>
      <w:r>
        <w:rPr>
          <w:iCs/>
          <w:i/>
        </w:rPr>
        <w:t xml:space="preserve">Board of Education v. Pico</w:t>
      </w:r>
      <w:r>
        <w:t xml:space="preserve">, 457 U.S. 853 (1982)</w:t>
      </w:r>
      <w:r>
        <w:t xml:space="preserve"> </w:t>
      </w:r>
      <w:r>
        <w:t xml:space="preserve">(plurality). These cases protect against government interference with communication between willing</w:t>
      </w:r>
      <w:r>
        <w:t xml:space="preserve"> </w:t>
      </w:r>
      <w:r>
        <w:t xml:space="preserve">parties. They do not compel the government to speak, but they matter when the government tries to</w:t>
      </w:r>
      <w:r>
        <w:t xml:space="preserve"> </w:t>
      </w:r>
      <w:r>
        <w:t xml:space="preserve">stop insiders, scientists, or (on the site’s premise) NHI from communicating with the public (Issues</w:t>
      </w:r>
      <w:r>
        <w:t xml:space="preserve"> </w:t>
      </w:r>
      <w:r>
        <w:t xml:space="preserve">B4, F3, F4).</w:t>
      </w:r>
    </w:p>
    <w:bookmarkEnd w:id="29"/>
    <w:bookmarkStart w:id="30" w:name="secret-budgets-and-standing"/>
    <w:p>
      <w:pPr>
        <w:pStyle w:val="Heading3"/>
      </w:pPr>
      <w:r>
        <w:t xml:space="preserve">2.3 Secret budgets and standing</w:t>
      </w:r>
    </w:p>
    <w:p>
      <w:pPr>
        <w:pStyle w:val="FirstParagraph"/>
      </w:pPr>
      <w:r>
        <w:t xml:space="preserve">The Constitution’s one express disclosure requirement concerns money:</w:t>
      </w:r>
      <w:r>
        <w:t xml:space="preserve"> </w:t>
      </w:r>
      <w:r>
        <w:t xml:space="preserve">“</w:t>
      </w:r>
      <w:r>
        <w:t xml:space="preserve">a regular Statement and Account of the</w:t>
      </w:r>
      <w:r>
        <w:t xml:space="preserve"> </w:t>
      </w:r>
      <w:r>
        <w:t xml:space="preserve">Receipts and Expenditures of all public Money shall be published from time to time</w:t>
      </w:r>
      <w:r>
        <w:t xml:space="preserve">”</w:t>
      </w:r>
      <w:r>
        <w:t xml:space="preserve"> </w:t>
      </w:r>
      <w:r>
        <w:t xml:space="preserve">(art. I, §9, cl. 7). A taxpayer</w:t>
      </w:r>
      <w:r>
        <w:t xml:space="preserve"> </w:t>
      </w:r>
      <w:r>
        <w:t xml:space="preserve">sued to compel publication of the CIA’s expenditures under that clause and lost for want of standing; the Court</w:t>
      </w:r>
      <w:r>
        <w:t xml:space="preserve"> </w:t>
      </w:r>
      <w:r>
        <w:t xml:space="preserve">described the question of how much to publish as</w:t>
      </w:r>
      <w:r>
        <w:t xml:space="preserve"> </w:t>
      </w:r>
      <w:r>
        <w:t xml:space="preserve">“</w:t>
      </w:r>
      <w:r>
        <w:t xml:space="preserve">committed to the surveillance of Congress.</w:t>
      </w:r>
      <w:r>
        <w:t xml:space="preserve">”</w:t>
      </w:r>
      <w:r>
        <w:t xml:space="preserve"> </w:t>
      </w:r>
      <w:r>
        <w:rPr>
          <w:iCs/>
          <w:i/>
        </w:rPr>
        <w:t xml:space="preserve">United States v.</w:t>
      </w:r>
      <w:r>
        <w:rPr>
          <w:iCs/>
          <w:i/>
        </w:rPr>
        <w:t xml:space="preserve"> </w:t>
      </w:r>
      <w:r>
        <w:rPr>
          <w:iCs/>
          <w:i/>
        </w:rPr>
        <w:t xml:space="preserve">Richardson</w:t>
      </w:r>
      <w:r>
        <w:t xml:space="preserve">, 418 U.S. 166, 179 (1974). The D.C. Circuit later upheld the CIA’s withholding of its legal-fee records</w:t>
      </w:r>
      <w:r>
        <w:t xml:space="preserve"> </w:t>
      </w:r>
      <w:r>
        <w:t xml:space="preserve">under FOIA.</w:t>
      </w:r>
      <w:r>
        <w:t xml:space="preserve"> </w:t>
      </w:r>
      <w:r>
        <w:rPr>
          <w:iCs/>
          <w:i/>
        </w:rPr>
        <w:t xml:space="preserve">Halperin v. CIA</w:t>
      </w:r>
      <w:r>
        <w:t xml:space="preserve">, 629 F.2d 144 (D.C. Cir. 1980). A suit to compel disclosure of the cost of UAP programs</w:t>
      </w:r>
      <w:r>
        <w:t xml:space="preserve"> </w:t>
      </w:r>
      <w:r>
        <w:t xml:space="preserve">would meet both decisions.</w:t>
      </w:r>
    </w:p>
    <w:p>
      <w:pPr>
        <w:pStyle w:val="BodyText"/>
      </w:pPr>
      <w:r>
        <w:t xml:space="preserve">Standing is a different matter when a statute requires disclosure. A plaintiff denied information that a statute</w:t>
      </w:r>
      <w:r>
        <w:t xml:space="preserve"> </w:t>
      </w:r>
      <w:r>
        <w:t xml:space="preserve">requires the government to make public suffers an injury in fact.</w:t>
      </w:r>
      <w:r>
        <w:t xml:space="preserve"> </w:t>
      </w:r>
      <w:r>
        <w:rPr>
          <w:iCs/>
          <w:i/>
        </w:rPr>
        <w:t xml:space="preserve">FEC v. Akins</w:t>
      </w:r>
      <w:r>
        <w:t xml:space="preserve">, 524 U.S. 11, 21 (1998);</w:t>
      </w:r>
      <w:r>
        <w:t xml:space="preserve"> </w:t>
      </w:r>
      <w:r>
        <w:rPr>
          <w:iCs/>
          <w:i/>
        </w:rPr>
        <w:t xml:space="preserve">Public</w:t>
      </w:r>
      <w:r>
        <w:rPr>
          <w:iCs/>
          <w:i/>
        </w:rPr>
        <w:t xml:space="preserve"> </w:t>
      </w:r>
      <w:r>
        <w:rPr>
          <w:iCs/>
          <w:i/>
        </w:rPr>
        <w:t xml:space="preserve">Citizen v. Department of Justice</w:t>
      </w:r>
      <w:r>
        <w:t xml:space="preserve">, 491 U.S. 440 (1989). That is the doctrinal route by which a disclosure statute</w:t>
      </w:r>
      <w:r>
        <w:t xml:space="preserve"> </w:t>
      </w:r>
      <w:r>
        <w:t xml:space="preserve">with a reporting duty (</w:t>
      </w:r>
      <w:hyperlink r:id="rId21">
        <w:r>
          <w:rPr>
            <w:rStyle w:val="Hyperlink"/>
          </w:rPr>
          <w:t xml:space="preserve">Form A4-1</w:t>
        </w:r>
      </w:hyperlink>
      <w:r>
        <w:t xml:space="preserve">) could be enforced in court, and the reason any such statute should state the duty</w:t>
      </w:r>
      <w:r>
        <w:t xml:space="preserve"> </w:t>
      </w:r>
      <w:r>
        <w:t xml:space="preserve">in mandatory terms.</w:t>
      </w:r>
    </w:p>
    <w:bookmarkEnd w:id="30"/>
    <w:bookmarkStart w:id="32" w:name="due-process"/>
    <w:p>
      <w:pPr>
        <w:pStyle w:val="Heading3"/>
      </w:pPr>
      <w:r>
        <w:t xml:space="preserve">2.4 Due process</w:t>
      </w:r>
    </w:p>
    <w:p>
      <w:pPr>
        <w:pStyle w:val="FirstParagraph"/>
      </w:pPr>
      <w:r>
        <w:t xml:space="preserve">The Due Process Clause imposes no general duty on government to protect people from harms it did not</w:t>
      </w:r>
      <w:r>
        <w:t xml:space="preserve"> </w:t>
      </w:r>
      <w:r>
        <w:t xml:space="preserve">create.</w:t>
      </w:r>
      <w:r>
        <w:t xml:space="preserve"> </w:t>
      </w:r>
      <w:r>
        <w:rPr>
          <w:iCs/>
          <w:i/>
        </w:rPr>
        <w:t xml:space="preserve">DeShaney v. Winnebago County Department of Social Services</w:t>
      </w:r>
      <w:r>
        <w:t xml:space="preserve">, 489 U.S. 189 (1989). Most circuits</w:t>
      </w:r>
      <w:r>
        <w:t xml:space="preserve"> </w:t>
      </w:r>
      <w:r>
        <w:t xml:space="preserve">recognize a</w:t>
      </w:r>
      <w:r>
        <w:t xml:space="preserve"> </w:t>
      </w:r>
      <w:r>
        <w:t xml:space="preserve">“</w:t>
      </w:r>
      <w:r>
        <w:t xml:space="preserve">state-created danger</w:t>
      </w:r>
      <w:r>
        <w:t xml:space="preserve">”</w:t>
      </w:r>
      <w:r>
        <w:t xml:space="preserve"> </w:t>
      </w:r>
      <w:r>
        <w:t xml:space="preserve">exception where the government affirmatively creates or increases a</w:t>
      </w:r>
      <w:r>
        <w:t xml:space="preserve"> </w:t>
      </w:r>
      <w:r>
        <w:t xml:space="preserve">danger to specific individuals and acts with deliberate indifference. Knowledge of NHI as such is not a</w:t>
      </w:r>
      <w:r>
        <w:t xml:space="preserve"> </w:t>
      </w:r>
      <w:r>
        <w:t xml:space="preserve">danger the government created. Specific operations (for example, testing recovered technology near</w:t>
      </w:r>
      <w:r>
        <w:t xml:space="preserve"> </w:t>
      </w:r>
      <w:r>
        <w:t xml:space="preserve">workers, or provoking encounters) could be, and the exception could support a duty to warn those exposed.</w:t>
      </w:r>
      <w:r>
        <w:t xml:space="preserve"> </w:t>
      </w:r>
      <w:hyperlink r:id="rId31">
        <w:r>
          <w:rPr>
            <w:rStyle w:val="Hyperlink"/>
          </w:rPr>
          <w:t xml:space="preserve">Issue D6</w:t>
        </w:r>
      </w:hyperlink>
      <w:r>
        <w:t xml:space="preserve"> </w:t>
      </w:r>
      <w:r>
        <w:t xml:space="preserve">develops this.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statutory-duties"/>
    <w:p>
      <w:pPr>
        <w:pStyle w:val="Heading2"/>
      </w:pPr>
      <w:r>
        <w:t xml:space="preserve">3. Statutory duties</w:t>
      </w:r>
    </w:p>
    <w:tbl>
      <w:tblPr>
        <w:tblStyle w:val="Table"/>
        <w:tblW w:type="pct" w:w="5000"/>
        <w:jc w:val="star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requires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can enforce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FY2024 NDAA §§1841-1843 (44 U.S.C. §2107 note)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Identify, transmit, and (absent clear-and-convincing postponement) release UAP records, including records on</w:t>
            </w:r>
            <w:r>
              <w:t xml:space="preserve"> </w:t>
            </w:r>
            <w:r>
              <w:t xml:space="preserve">“</w:t>
            </w:r>
            <w:r>
              <w:t xml:space="preserve">technologies of unknown origin, and non-human intelligence</w:t>
            </w:r>
            <w:r>
              <w:t xml:space="preserve">”</w:t>
            </w:r>
            <w:r>
              <w:t xml:space="preserve">; 25-year limit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express cause of action; APA §706(1) for discrete duties, within limits drawn by the JFK Act cases (</w:t>
            </w:r>
            <w:hyperlink r:id="rId23">
              <w:r>
                <w:rPr>
                  <w:rStyle w:val="Hyperlink"/>
                </w:rPr>
                <w:t xml:space="preserve">Issue A3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FOIA, 5 U.S.C. §552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Release of specific records on request, subject to exemptions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Requesters, de novo review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U.S.C. §3373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AARO reports to Congress, including historical record and restricted programs not reported to Congress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Congress. On the site’s premise that AARO is part of the concealment, this is a duty the reporting office has an interest in not performing; its reports should be tested against other official 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U.S.C. §3091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intelligence committees fully and currently informed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Congress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U.S.C. §3373b(a)(4)(B)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Notify the committees within 72 hours when an authorized disclosure concerns an unreported restricted or special access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Congress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Federal Records Act and Presidential Records 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Preserve records; no publication duty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Archivist; limited private enforcement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EO 13526 §§1.7(a), 3.1(d)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Classification may not be used to conceal violations of law or prevent embarrassment; agencies may declassify where the public interest outweighs harm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private right of action; usable in MDR and FOIA advocacy</w:t>
            </w:r>
          </w:p>
        </w:tc>
      </w:tr>
    </w:tbl>
    <w:p>
      <w:pPr>
        <w:pStyle w:val="BodyText"/>
      </w:pPr>
      <w:r>
        <w:t xml:space="preserve">None of these requires the government to announce a conclusion that NHI exist. They require the</w:t>
      </w:r>
      <w:r>
        <w:t xml:space="preserve"> </w:t>
      </w:r>
      <w:r>
        <w:t xml:space="preserve">government to release records. A disclosure duty in practice therefore operates through records: if the</w:t>
      </w:r>
      <w:r>
        <w:t xml:space="preserve"> </w:t>
      </w:r>
      <w:r>
        <w:t xml:space="preserve">government holds records documenting NHI, the Records Collection provisions require their transmission</w:t>
      </w:r>
      <w:r>
        <w:t xml:space="preserve"> </w:t>
      </w:r>
      <w:r>
        <w:t xml:space="preserve">and, subject to postponement, their release.</w:t>
      </w:r>
    </w:p>
    <w:p>
      <w:r>
        <w:pict>
          <v:rect style="width:0;height:1.5pt" o:hralign="center" o:hrstd="t" o:hr="t"/>
        </w:pict>
      </w:r>
    </w:p>
    <w:bookmarkEnd w:id="34"/>
    <w:bookmarkStart w:id="36" w:name="state-law"/>
    <w:p>
      <w:pPr>
        <w:pStyle w:val="Heading2"/>
      </w:pPr>
      <w:r>
        <w:t xml:space="preserve">4. State law</w:t>
      </w:r>
    </w:p>
    <w:p>
      <w:pPr>
        <w:pStyle w:val="FirstParagraph"/>
      </w:pPr>
      <w:r>
        <w:t xml:space="preserve">Several state constitutions guarantee a right of access to public records or proceedings. California’s provides</w:t>
      </w:r>
      <w:r>
        <w:t xml:space="preserve"> </w:t>
      </w:r>
      <w:r>
        <w:t xml:space="preserve">that</w:t>
      </w:r>
      <w:r>
        <w:t xml:space="preserve"> </w:t>
      </w:r>
      <w:r>
        <w:t xml:space="preserve">“</w:t>
      </w:r>
      <w:r>
        <w:t xml:space="preserve">[t]he people have the right of access to information concerning the conduct of the people’s business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directs courts to construe statutes broadly when they further that access and narrowly when they limit it (Cal.</w:t>
      </w:r>
      <w:r>
        <w:t xml:space="preserve"> </w:t>
      </w:r>
      <w:r>
        <w:t xml:space="preserve">Const. art. I, §3(b)(1)-(2)). Florida’s gives</w:t>
      </w:r>
      <w:r>
        <w:t xml:space="preserve"> </w:t>
      </w:r>
      <w:r>
        <w:t xml:space="preserve">“</w:t>
      </w:r>
      <w:r>
        <w:t xml:space="preserve">[e]very person</w:t>
      </w:r>
      <w:r>
        <w:t xml:space="preserve">”</w:t>
      </w:r>
      <w:r>
        <w:t xml:space="preserve"> </w:t>
      </w:r>
      <w:r>
        <w:t xml:space="preserve">the</w:t>
      </w:r>
      <w:r>
        <w:t xml:space="preserve"> </w:t>
      </w:r>
      <w:r>
        <w:t xml:space="preserve">“</w:t>
      </w:r>
      <w:r>
        <w:t xml:space="preserve">right to inspect or copy any public record made or</w:t>
      </w:r>
      <w:r>
        <w:t xml:space="preserve"> </w:t>
      </w:r>
      <w:r>
        <w:t xml:space="preserve">received in connection with the official business of any public body</w:t>
      </w:r>
      <w:r>
        <w:t xml:space="preserve">”</w:t>
      </w:r>
      <w:r>
        <w:t xml:space="preserve"> </w:t>
      </w:r>
      <w:r>
        <w:t xml:space="preserve">(Fla. Const. art. I, §24(a)). Montana’s</w:t>
      </w:r>
      <w:r>
        <w:t xml:space="preserve"> </w:t>
      </w:r>
      <w:r>
        <w:t xml:space="preserve">“</w:t>
      </w:r>
      <w:r>
        <w:t xml:space="preserve">right</w:t>
      </w:r>
      <w:r>
        <w:t xml:space="preserve"> </w:t>
      </w:r>
      <w:r>
        <w:t xml:space="preserve">to know</w:t>
      </w:r>
      <w:r>
        <w:t xml:space="preserve">”</w:t>
      </w:r>
      <w:r>
        <w:t xml:space="preserve"> </w:t>
      </w:r>
      <w:r>
        <w:t xml:space="preserve">provides that no person</w:t>
      </w:r>
      <w:r>
        <w:t xml:space="preserve"> </w:t>
      </w:r>
      <w:r>
        <w:t xml:space="preserve">“</w:t>
      </w:r>
      <w:r>
        <w:t xml:space="preserve">shall be deprived of the right to examine documents or to observe the</w:t>
      </w:r>
      <w:r>
        <w:t xml:space="preserve"> </w:t>
      </w:r>
      <w:r>
        <w:t xml:space="preserve">deliberations of all public bodies or agencies of state government and its subdivisions, except in cases in which</w:t>
      </w:r>
      <w:r>
        <w:t xml:space="preserve"> </w:t>
      </w:r>
      <w:r>
        <w:t xml:space="preserve">the demand of individual privacy clearly exceeds the merits of public disclosure</w:t>
      </w:r>
      <w:r>
        <w:t xml:space="preserve">”</w:t>
      </w:r>
      <w:r>
        <w:t xml:space="preserve"> </w:t>
      </w:r>
      <w:r>
        <w:t xml:space="preserve">(Mont. Const. art. II, §9). These</w:t>
      </w:r>
      <w:r>
        <w:t xml:space="preserve"> </w:t>
      </w:r>
      <w:r>
        <w:t xml:space="preserve">reach state and local agencies (state police, state aviation agencies,</w:t>
      </w:r>
      <w:r>
        <w:t xml:space="preserve"> </w:t>
      </w:r>
      <w:r>
        <w:t xml:space="preserve">emergency management offices, state universities, and National Guard records in state status). They do</w:t>
      </w:r>
      <w:r>
        <w:t xml:space="preserve"> </w:t>
      </w:r>
      <w:r>
        <w:t xml:space="preserve">not reach federal records, and records shared with a state by a federal agency raise preemption and</w:t>
      </w:r>
      <w:r>
        <w:t xml:space="preserve"> </w:t>
      </w:r>
      <w:r>
        <w:t xml:space="preserve">ownership questions (</w:t>
      </w:r>
      <w:hyperlink r:id="rId35">
        <w:r>
          <w:rPr>
            <w:rStyle w:val="Hyperlink"/>
          </w:rPr>
          <w:t xml:space="preserve">Issue B1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6"/>
    <w:bookmarkStart w:id="42" w:name="international-law"/>
    <w:p>
      <w:pPr>
        <w:pStyle w:val="Heading2"/>
      </w:pPr>
      <w:r>
        <w:t xml:space="preserve">5. International law</w:t>
      </w:r>
    </w:p>
    <w:bookmarkStart w:id="37" w:name="outer-space-treaty"/>
    <w:p>
      <w:pPr>
        <w:pStyle w:val="Heading3"/>
      </w:pPr>
      <w:r>
        <w:t xml:space="preserve">5.1 Outer Space Treaty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Article V</w:t>
      </w:r>
      <w:r>
        <w:t xml:space="preserve"> </w:t>
      </w:r>
      <w:r>
        <w:t xml:space="preserve">requires States Parties to</w:t>
      </w:r>
      <w:r>
        <w:t xml:space="preserve"> </w:t>
      </w:r>
      <w:r>
        <w:t xml:space="preserve">“</w:t>
      </w:r>
      <w:r>
        <w:t xml:space="preserve">immediately inform the other States Parties to the Treaty or</w:t>
      </w:r>
      <w:r>
        <w:t xml:space="preserve"> </w:t>
      </w:r>
      <w:r>
        <w:t xml:space="preserve">the Secretary-General of the United Nations of any phenomena they discover in outer space, including</w:t>
      </w:r>
      <w:r>
        <w:t xml:space="preserve"> </w:t>
      </w:r>
      <w:r>
        <w:t xml:space="preserve">the Moon and other celestial bodies, which could constitute a danger to the life or health of</w:t>
      </w:r>
      <w:r>
        <w:t xml:space="preserve"> </w:t>
      </w:r>
      <w:r>
        <w:t xml:space="preserve">astronauts.</w:t>
      </w:r>
      <w:r>
        <w:t xml:space="preserve">”</w:t>
      </w:r>
      <w:r>
        <w:t xml:space="preserve"> </w:t>
      </w:r>
      <w:r>
        <w:t xml:space="preserve">The duty is mandatory and immediate, but limited to phenomena discovered in outer space</w:t>
      </w:r>
      <w:r>
        <w:t xml:space="preserve"> </w:t>
      </w:r>
      <w:r>
        <w:t xml:space="preserve">that endanger astronauts. UAP observed in orbit near crewed spacecraft, or reported by astronauts,</w:t>
      </w:r>
      <w:r>
        <w:t xml:space="preserve"> </w:t>
      </w:r>
      <w:r>
        <w:t xml:space="preserve">could fall within it.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Article XI</w:t>
      </w:r>
      <w:r>
        <w:t xml:space="preserve"> </w:t>
      </w:r>
      <w:r>
        <w:t xml:space="preserve">requires states conducting space activities to inform the Secretary-General, the public,</w:t>
      </w:r>
      <w:r>
        <w:t xml:space="preserve"> </w:t>
      </w:r>
      <w:r>
        <w:t xml:space="preserve">and the international scientific community</w:t>
      </w:r>
      <w:r>
        <w:t xml:space="preserve"> </w:t>
      </w:r>
      <w:r>
        <w:t xml:space="preserve">“</w:t>
      </w:r>
      <w:r>
        <w:t xml:space="preserve">to the greatest extent feasible and practicable</w:t>
      </w:r>
      <w:r>
        <w:t xml:space="preserve">”</w:t>
      </w:r>
      <w:r>
        <w:t xml:space="preserve"> </w:t>
      </w:r>
      <w:r>
        <w:t xml:space="preserve">of the</w:t>
      </w:r>
      <w:r>
        <w:t xml:space="preserve"> </w:t>
      </w:r>
      <w:r>
        <w:t xml:space="preserve">nature, conduct, locations, and results of those activities. Commentators read the qualifier as</w:t>
      </w:r>
      <w:r>
        <w:t xml:space="preserve"> </w:t>
      </w:r>
      <w:r>
        <w:t xml:space="preserve">self-judging, which gives states room to withhold on security grounds.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Article VI</w:t>
      </w:r>
      <w:r>
        <w:t xml:space="preserve"> </w:t>
      </w:r>
      <w:r>
        <w:t xml:space="preserve">makes states responsible for the space activities of their nongovernmental entities</w:t>
      </w:r>
      <w:r>
        <w:t xml:space="preserve"> </w:t>
      </w:r>
      <w:r>
        <w:t xml:space="preserve">and requires authorization and continuing supervision. An attorney writing for the International</w:t>
      </w:r>
      <w:r>
        <w:t xml:space="preserve"> </w:t>
      </w:r>
      <w:r>
        <w:t xml:space="preserve">Astronautical Congress has argued that Article VI obliges states to require their private space actors</w:t>
      </w:r>
      <w:r>
        <w:t xml:space="preserve"> </w:t>
      </w:r>
      <w:r>
        <w:t xml:space="preserve">to report an encounter with extraterrestrial intelligence under Articles V and XI. George Anthony Long,</w:t>
      </w:r>
      <w:r>
        <w:t xml:space="preserve"> </w:t>
      </w:r>
      <w:r>
        <w:rPr>
          <w:iCs/>
          <w:i/>
        </w:rPr>
        <w:t xml:space="preserve">The Duty Under the Space Law Treaty Regime to Disclose or Report an Encounter with an Extra</w:t>
      </w:r>
      <w:r>
        <w:rPr>
          <w:iCs/>
          <w:i/>
        </w:rPr>
        <w:t xml:space="preserve"> </w:t>
      </w:r>
      <w:r>
        <w:rPr>
          <w:iCs/>
          <w:i/>
        </w:rPr>
        <w:t xml:space="preserve">Terrestrial Intelligence</w:t>
      </w:r>
      <w:r>
        <w:t xml:space="preserve">, IAC-20,A4,2,1,x60707 (2020).</w:t>
      </w:r>
    </w:p>
    <w:p>
      <w:pPr>
        <w:pStyle w:val="Compact"/>
        <w:numPr>
          <w:ilvl w:val="0"/>
          <w:numId w:val="1005"/>
        </w:numPr>
      </w:pPr>
      <w:r>
        <w:t xml:space="preserve">The United States treats the Outer Space Treaty as binding but not self-executing in this respect; no</w:t>
      </w:r>
      <w:r>
        <w:t xml:space="preserve"> </w:t>
      </w:r>
      <w:r>
        <w:t xml:space="preserve">private party can enforce Article V or XI in U.S. court. A treaty that is not self-executing is not domestic law</w:t>
      </w:r>
      <w:r>
        <w:t xml:space="preserve"> </w:t>
      </w:r>
      <w:r>
        <w:t xml:space="preserve">enforceable by courts until Congress implements it.</w:t>
      </w:r>
      <w:r>
        <w:t xml:space="preserve"> </w:t>
      </w:r>
      <w:r>
        <w:rPr>
          <w:iCs/>
          <w:i/>
        </w:rPr>
        <w:t xml:space="preserve">Medellín v. Texas</w:t>
      </w:r>
      <w:r>
        <w:t xml:space="preserve">, 552 U.S. 491, 505 (2008). The treaty matters diplomatically and as a</w:t>
      </w:r>
      <w:r>
        <w:t xml:space="preserve"> </w:t>
      </w:r>
      <w:r>
        <w:t xml:space="preserve">basis for congressional or executive policy.</w:t>
      </w:r>
    </w:p>
    <w:bookmarkEnd w:id="37"/>
    <w:bookmarkStart w:id="38" w:name="united-nations-practice"/>
    <w:p>
      <w:pPr>
        <w:pStyle w:val="Heading3"/>
      </w:pPr>
      <w:r>
        <w:t xml:space="preserve">5.2 United Nations practice</w:t>
      </w:r>
    </w:p>
    <w:p>
      <w:pPr>
        <w:pStyle w:val="FirstParagraph"/>
      </w:pPr>
      <w:r>
        <w:t xml:space="preserve">In 1977 and 1978 Grenada placed UFOs on the General Assembly agenda. The Assembly adopted Decision 32/424</w:t>
      </w:r>
      <w:r>
        <w:t xml:space="preserve"> </w:t>
      </w:r>
      <w:r>
        <w:t xml:space="preserve">(1977) and Decision 33/426 (Dec. 18, 1978). Grenada’s draft resolution asking the United Nations to</w:t>
      </w:r>
      <w:r>
        <w:t xml:space="preserve"> </w:t>
      </w:r>
      <w:r>
        <w:t xml:space="preserve">“</w:t>
      </w:r>
      <w:r>
        <w:t xml:space="preserve">initiate, conduct and co-ordinate research</w:t>
      </w:r>
      <w:r>
        <w:t xml:space="preserve">”</w:t>
      </w:r>
      <w:r>
        <w:t xml:space="preserve"> </w:t>
      </w:r>
      <w:r>
        <w:t xml:space="preserve">into UFOs through a group of experts under the Committee on</w:t>
      </w:r>
      <w:r>
        <w:t xml:space="preserve"> </w:t>
      </w:r>
      <w:r>
        <w:t xml:space="preserve">the Peaceful Uses of Outer Space (A/SPC/33/L.20) was withdrawn after consultations, and the Special</w:t>
      </w:r>
      <w:r>
        <w:t xml:space="preserve"> </w:t>
      </w:r>
      <w:r>
        <w:t xml:space="preserve">Political Committee instead recommended a consensus decision. Report of the Special Political Committee,</w:t>
      </w:r>
      <w:r>
        <w:t xml:space="preserve"> </w:t>
      </w:r>
      <w:r>
        <w:t xml:space="preserve">U.N. Doc. A/33/512, paras. 5-9 (Dec. 16, 1978). In paragraph 2 of the decision, the General Assembly</w:t>
      </w:r>
      <w:r>
        <w:t xml:space="preserve"> </w:t>
      </w:r>
      <w:r>
        <w:t xml:space="preserve">“</w:t>
      </w:r>
      <w:r>
        <w:t xml:space="preserve">invites interested Member States to take appropriate steps to co-ordinate on a national level</w:t>
      </w:r>
      <w:r>
        <w:t xml:space="preserve"> </w:t>
      </w:r>
      <w:r>
        <w:t xml:space="preserve">scientific research and investigation into extraterrestrial life, including unidentified flying</w:t>
      </w:r>
      <w:r>
        <w:t xml:space="preserve"> </w:t>
      </w:r>
      <w:r>
        <w:t xml:space="preserve">objects,</w:t>
      </w:r>
      <w:r>
        <w:t xml:space="preserve">”</w:t>
      </w:r>
      <w:r>
        <w:t xml:space="preserve"> </w:t>
      </w:r>
      <w:r>
        <w:t xml:space="preserve">and to inform the Secretary-General of the observations, research, and evaluation of those</w:t>
      </w:r>
      <w:r>
        <w:t xml:space="preserve"> </w:t>
      </w:r>
      <w:r>
        <w:t xml:space="preserve">activities; paragraphs 3 and 4 sent Grenada’s statements to COPUOS and allowed Grenada to present its</w:t>
      </w:r>
      <w:r>
        <w:t xml:space="preserve"> </w:t>
      </w:r>
      <w:r>
        <w:t xml:space="preserve">views there in 1979.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para. 9. The plenary adopted the decision without a vote. U.N. GAOR, 33d</w:t>
      </w:r>
      <w:r>
        <w:t xml:space="preserve"> </w:t>
      </w:r>
      <w:r>
        <w:t xml:space="preserve">Sess., 87th plen. mtg. at 1553, U.N. Doc. A/33/PV.87 (Dec. 18, 1978). The decision is non-binding and</w:t>
      </w:r>
      <w:r>
        <w:t xml:space="preserve"> </w:t>
      </w:r>
      <w:r>
        <w:t xml:space="preserve">was never implemented, but it is the only General Assembly action on the subject and a precedent for</w:t>
      </w:r>
      <w:r>
        <w:t xml:space="preserve"> </w:t>
      </w:r>
      <w:r>
        <w:t xml:space="preserve">reporting to the Secretary-General. (The committee report survives as a poor-quality scan; the quoted words were read from the scan image.)</w:t>
      </w:r>
    </w:p>
    <w:bookmarkEnd w:id="38"/>
    <w:bookmarkStart w:id="40" w:name="human-rights-law"/>
    <w:p>
      <w:pPr>
        <w:pStyle w:val="Heading3"/>
      </w:pPr>
      <w:r>
        <w:t xml:space="preserve">5.3 Human rights law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Access to information.</w:t>
      </w:r>
      <w:r>
        <w:t xml:space="preserve"> </w:t>
      </w:r>
      <w:r>
        <w:t xml:space="preserve">Article 19(2) of the ICCPR protects the right to</w:t>
      </w:r>
      <w:r>
        <w:t xml:space="preserve"> </w:t>
      </w:r>
      <w:r>
        <w:t xml:space="preserve">“</w:t>
      </w:r>
      <w:r>
        <w:t xml:space="preserve">seek, receive and impart</w:t>
      </w:r>
      <w:r>
        <w:t xml:space="preserve"> </w:t>
      </w:r>
      <w:r>
        <w:t xml:space="preserve">information,</w:t>
      </w:r>
      <w:r>
        <w:t xml:space="preserve">”</w:t>
      </w:r>
      <w:r>
        <w:t xml:space="preserve"> </w:t>
      </w:r>
      <w:r>
        <w:t xml:space="preserve">and the Human Rights Committee reads it to include a right of access to information held</w:t>
      </w:r>
      <w:r>
        <w:t xml:space="preserve"> </w:t>
      </w:r>
      <w:r>
        <w:t xml:space="preserve">by public bodies (General Comment No. 34 (2011), para. 18). Regional courts have recognized similar</w:t>
      </w:r>
      <w:r>
        <w:t xml:space="preserve"> </w:t>
      </w:r>
      <w:r>
        <w:t xml:space="preserve">rights (</w:t>
      </w:r>
      <w:r>
        <w:rPr>
          <w:iCs/>
          <w:i/>
        </w:rPr>
        <w:t xml:space="preserve">Claude Reyes v. Chile</w:t>
      </w:r>
      <w:r>
        <w:t xml:space="preserve">, Inter-Am. Ct. H.R. (2006);</w:t>
      </w:r>
      <w:r>
        <w:t xml:space="preserve"> </w:t>
      </w:r>
      <w:r>
        <w:rPr>
          <w:iCs/>
          <w:i/>
        </w:rPr>
        <w:t xml:space="preserve">Magyar Helsinki Bizottság v. Hungary</w:t>
      </w:r>
      <w:r>
        <w:t xml:space="preserve">,</w:t>
      </w:r>
      <w:r>
        <w:t xml:space="preserve"> </w:t>
      </w:r>
      <w:r>
        <w:t xml:space="preserve">ECtHR Grand Chamber (2016)). The United States treats the ICCPR as non-self-executing.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Right to truth.</w:t>
      </w:r>
      <w:r>
        <w:t xml:space="preserve"> </w:t>
      </w:r>
      <w:r>
        <w:t xml:space="preserve">The Office of the High Commissioner for Human Rights describes an autonomous right</w:t>
      </w:r>
      <w:r>
        <w:t xml:space="preserve"> </w:t>
      </w:r>
      <w:r>
        <w:t xml:space="preserve">to the truth about gross violations of human rights, tied to the state’s duty to investigate and</w:t>
      </w:r>
      <w:r>
        <w:t xml:space="preserve"> </w:t>
      </w:r>
      <w:r>
        <w:t xml:space="preserve">provide remedies.</w:t>
      </w:r>
      <w:r>
        <w:t xml:space="preserve"> </w:t>
      </w:r>
      <w:r>
        <w:rPr>
          <w:iCs/>
          <w:i/>
        </w:rPr>
        <w:t xml:space="preserve">Study on the Right to the Truth</w:t>
      </w:r>
      <w:r>
        <w:t xml:space="preserve">, U.N. Doc. E/CN.4/2006/91 (2006). It is relevant</w:t>
      </w:r>
      <w:r>
        <w:t xml:space="preserve"> </w:t>
      </w:r>
      <w:r>
        <w:t xml:space="preserve">to allegations that NHI have been killed or detained (</w:t>
      </w:r>
      <w:hyperlink r:id="rId39">
        <w:r>
          <w:rPr>
            <w:rStyle w:val="Hyperlink"/>
          </w:rPr>
          <w:t xml:space="preserve">Issue F2</w:t>
        </w:r>
      </w:hyperlink>
      <w:r>
        <w:t xml:space="preserve">), and to experiencers who allege</w:t>
      </w:r>
      <w:r>
        <w:t xml:space="preserve"> </w:t>
      </w:r>
      <w:r>
        <w:t xml:space="preserve">government involvement in their experiences, more than to the general question of existence.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Right to science.</w:t>
      </w:r>
      <w:r>
        <w:t xml:space="preserve"> </w:t>
      </w:r>
      <w:r>
        <w:t xml:space="preserve">ICESCR Article 15(1)(b) and CESCR General Comment No. 25 (2020) recognize a right</w:t>
      </w:r>
      <w:r>
        <w:t xml:space="preserve"> </w:t>
      </w:r>
      <w:r>
        <w:t xml:space="preserve">to enjoy the benefits of scientific progress, including access to scientific knowledge, subject to</w:t>
      </w:r>
      <w:r>
        <w:t xml:space="preserve"> </w:t>
      </w:r>
      <w:r>
        <w:t xml:space="preserve">limitations under Article 4. The United States has signed but not ratified the ICESCR. The right is</w:t>
      </w:r>
      <w:r>
        <w:t xml:space="preserve"> </w:t>
      </w:r>
      <w:r>
        <w:t xml:space="preserve">the strongest international basis for arguing that suppressed scientific knowledge, such as energy or</w:t>
      </w:r>
      <w:r>
        <w:t xml:space="preserve"> </w:t>
      </w:r>
      <w:r>
        <w:t xml:space="preserve">medical technology, should be shared (</w:t>
      </w:r>
      <w:hyperlink r:id="rId31">
        <w:r>
          <w:rPr>
            <w:rStyle w:val="Hyperlink"/>
          </w:rPr>
          <w:t xml:space="preserve">Issue D6</w:t>
        </w:r>
      </w:hyperlink>
      <w:r>
        <w:t xml:space="preserve">).</w:t>
      </w:r>
    </w:p>
    <w:bookmarkEnd w:id="40"/>
    <w:bookmarkStart w:id="41" w:name="post-detection-protocols"/>
    <w:p>
      <w:pPr>
        <w:pStyle w:val="Heading3"/>
      </w:pPr>
      <w:r>
        <w:t xml:space="preserve">5.4 Post-detection protocols</w:t>
      </w:r>
    </w:p>
    <w:p>
      <w:pPr>
        <w:pStyle w:val="FirstParagraph"/>
      </w:pPr>
      <w:r>
        <w:t xml:space="preserve">The International Academy of Astronautics’ SETI declarations (1989, 2010, and the 2026 revision) commit</w:t>
      </w:r>
      <w:r>
        <w:t xml:space="preserve"> </w:t>
      </w:r>
      <w:r>
        <w:t xml:space="preserve">signatory researchers to verify and then publicly announce a confirmed detection of extraterrestrial</w:t>
      </w:r>
      <w:r>
        <w:t xml:space="preserve"> </w:t>
      </w:r>
      <w:r>
        <w:t xml:space="preserve">intelligence, and not to respond without international consultation. They bind no government. They are</w:t>
      </w:r>
      <w:r>
        <w:t xml:space="preserve"> </w:t>
      </w:r>
      <w:r>
        <w:t xml:space="preserve">a normative benchmark: the scientific community’s own rule is prompt public disclosure after</w:t>
      </w:r>
      <w:r>
        <w:t xml:space="preserve"> </w:t>
      </w:r>
      <w:r>
        <w:t xml:space="preserve">verification.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4" w:name="comparative-practice"/>
    <w:p>
      <w:pPr>
        <w:pStyle w:val="Heading2"/>
      </w:pPr>
      <w:r>
        <w:t xml:space="preserve">6. Comparative practice</w:t>
      </w:r>
    </w:p>
    <w:p>
      <w:pPr>
        <w:pStyle w:val="FirstParagraph"/>
      </w:pPr>
      <w:r>
        <w:t xml:space="preserve">Several governments have released UAP information without any judicial compulsion: France through</w:t>
      </w:r>
      <w:r>
        <w:t xml:space="preserve"> </w:t>
      </w:r>
      <w:r>
        <w:t xml:space="preserve">GEIPAN’s public archive (since 2007); the United Kingdom through transfer of Ministry of Defence UFO files</w:t>
      </w:r>
      <w:r>
        <w:t xml:space="preserve"> </w:t>
      </w:r>
      <w:r>
        <w:t xml:space="preserve">to The National Archives (2008-2013); Brazil through Air Force declassification (from 2005) and its</w:t>
      </w:r>
      <w:r>
        <w:t xml:space="preserve"> </w:t>
      </w:r>
      <w:r>
        <w:t xml:space="preserve">access-to-information law (Lei 12.527/2011); and Chile through CEFAA. Several have constitutional rights</w:t>
      </w:r>
      <w:r>
        <w:t xml:space="preserve"> </w:t>
      </w:r>
      <w:r>
        <w:t xml:space="preserve">of access to information (Mexico art. 6; South Africa s. 32; Brazil art. 5, XXXIII). These examples</w:t>
      </w:r>
      <w:r>
        <w:t xml:space="preserve"> </w:t>
      </w:r>
      <w:r>
        <w:t xml:space="preserve">show that disclosure duties, where they exist, come from access-to-information statutes and executive</w:t>
      </w:r>
      <w:r>
        <w:t xml:space="preserve"> </w:t>
      </w:r>
      <w:r>
        <w:t xml:space="preserve">policy. No rule specific to NHI exists.</w:t>
      </w:r>
      <w:r>
        <w:t xml:space="preserve"> </w:t>
      </w:r>
      <w:hyperlink r:id="rId43">
        <w:r>
          <w:rPr>
            <w:rStyle w:val="Hyperlink"/>
          </w:rPr>
          <w:t xml:space="preserve">Issue F6</w:t>
        </w:r>
      </w:hyperlink>
      <w:r>
        <w:t xml:space="preserve"> </w:t>
      </w:r>
      <w:r>
        <w:t xml:space="preserve">collects the foreign programs.</w:t>
      </w:r>
    </w:p>
    <w:p>
      <w:r>
        <w:pict>
          <v:rect style="width:0;height:1.5pt" o:hralign="center" o:hrstd="t" o:hr="t"/>
        </w:pict>
      </w:r>
    </w:p>
    <w:bookmarkEnd w:id="44"/>
    <w:bookmarkStart w:id="45" w:name="designing-a-statutory-duty"/>
    <w:p>
      <w:pPr>
        <w:pStyle w:val="Heading2"/>
      </w:pPr>
      <w:r>
        <w:t xml:space="preserve">7. Designing a statutory duty</w:t>
      </w:r>
    </w:p>
    <w:p>
      <w:pPr>
        <w:pStyle w:val="FirstParagraph"/>
      </w:pPr>
      <w:r>
        <w:t xml:space="preserve">A legislature that wants to impose a duty to disclose the existence of NHI, rather than only a duty to</w:t>
      </w:r>
      <w:r>
        <w:t xml:space="preserve"> </w:t>
      </w:r>
      <w:r>
        <w:t xml:space="preserve">release records, would need to address: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Findings and a presumption of disclosure.</w:t>
      </w:r>
      <w:r>
        <w:t xml:space="preserve"> </w:t>
      </w:r>
      <w:r>
        <w:t xml:space="preserve">Define NHI and technologies of unknown origin (H.R. 8800</w:t>
      </w:r>
      <w:r>
        <w:t xml:space="preserve"> </w:t>
      </w:r>
      <w:r>
        <w:t xml:space="preserve">§1773 offers definitions).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An affirmative reporting duty.</w:t>
      </w:r>
      <w:r>
        <w:t xml:space="preserve"> </w:t>
      </w:r>
      <w:r>
        <w:t xml:space="preserve">Require the President or a designated official to report to</w:t>
      </w:r>
      <w:r>
        <w:t xml:space="preserve"> </w:t>
      </w:r>
      <w:r>
        <w:t xml:space="preserve">Congress and the public, by a fixed date, whether the government possesses evidence of NHI or of</w:t>
      </w:r>
      <w:r>
        <w:t xml:space="preserve"> </w:t>
      </w:r>
      <w:r>
        <w:t xml:space="preserve">technology of non-human origin, with a classified annex for details.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An independent decision-maker.</w:t>
      </w:r>
      <w:r>
        <w:t xml:space="preserve"> </w:t>
      </w:r>
      <w:r>
        <w:t xml:space="preserve">A review board with access, subpoena power, and authority to</w:t>
      </w:r>
      <w:r>
        <w:t xml:space="preserve"> </w:t>
      </w:r>
      <w:r>
        <w:t xml:space="preserve">determine whether material qualifies (H.R. 8800 §§1764, 1767).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Narrow, time-limited postponement.</w:t>
      </w:r>
      <w:r>
        <w:t xml:space="preserve"> </w:t>
      </w:r>
      <w:r>
        <w:t xml:space="preserve">Clear-and-convincing evidence, specific harms, published</w:t>
      </w:r>
      <w:r>
        <w:t xml:space="preserve"> </w:t>
      </w:r>
      <w:r>
        <w:t xml:space="preserve">reasons, and a sunset (FY2024 §1843; H.R. 8800 §1763).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Judicial review and a cause of action.</w:t>
      </w:r>
      <w:r>
        <w:t xml:space="preserve"> </w:t>
      </w:r>
      <w:r>
        <w:t xml:space="preserve">An express right of action for persons denied information</w:t>
      </w:r>
      <w:r>
        <w:t xml:space="preserve"> </w:t>
      </w:r>
      <w:r>
        <w:t xml:space="preserve">the statute requires to be released, with de novo review (H.R. 8800 §1769(c) preserves APA review).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Protection for those who disclose.</w:t>
      </w:r>
      <w:r>
        <w:t xml:space="preserve"> </w:t>
      </w:r>
      <w:r>
        <w:t xml:space="preserve">Extend 50 U.S.C. §3373b protections and provide immunity</w:t>
      </w:r>
      <w:r>
        <w:t xml:space="preserve"> </w:t>
      </w:r>
      <w:r>
        <w:t xml:space="preserve">procedures (Issues B3, C1).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International coordination.</w:t>
      </w:r>
      <w:r>
        <w:t xml:space="preserve"> </w:t>
      </w:r>
      <w:r>
        <w:t xml:space="preserve">Direct the Secretary of State to notify the UN Secretary-General</w:t>
      </w:r>
      <w:r>
        <w:t xml:space="preserve"> </w:t>
      </w:r>
      <w:r>
        <w:t xml:space="preserve">consistent with OST Articles V and XI and to seek reciprocal disclosure (H.R. 8800 §1768(b)(2)</w:t>
      </w:r>
      <w:r>
        <w:t xml:space="preserve"> </w:t>
      </w:r>
      <w:r>
        <w:t xml:space="preserve">expresses this only as a sense of Congress).</w:t>
      </w:r>
    </w:p>
    <w:p>
      <w:r>
        <w:pict>
          <v:rect style="width:0;height:1.5pt" o:hralign="center" o:hrstd="t" o:hr="t"/>
        </w:pict>
      </w:r>
    </w:p>
    <w:bookmarkEnd w:id="45"/>
    <w:bookmarkStart w:id="48" w:name="practice-points"/>
    <w:p>
      <w:pPr>
        <w:pStyle w:val="Heading2"/>
      </w:pPr>
      <w:r>
        <w:t xml:space="preserve">8. Practice points</w:t>
      </w:r>
    </w:p>
    <w:p>
      <w:pPr>
        <w:pStyle w:val="Compact"/>
        <w:numPr>
          <w:ilvl w:val="0"/>
          <w:numId w:val="1008"/>
        </w:numPr>
      </w:pPr>
      <w:r>
        <w:t xml:space="preserve">Do not plead a constitutional right to disclosure of NHI existence; it will be dismissed under</w:t>
      </w:r>
      <w:r>
        <w:t xml:space="preserve"> </w:t>
      </w:r>
      <w:r>
        <w:rPr>
          <w:iCs/>
          <w:i/>
        </w:rPr>
        <w:t xml:space="preserve">Houchins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McBurney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Use records statutes: FOIA plus the Records Collection provisions (</w:t>
      </w:r>
      <w:hyperlink r:id="rId46">
        <w:r>
          <w:rPr>
            <w:rStyle w:val="Hyperlink"/>
          </w:rPr>
          <w:t xml:space="preserve">Form A3-1</w:t>
        </w:r>
      </w:hyperlink>
      <w:r>
        <w:t xml:space="preserve">), and MDR (</w:t>
      </w:r>
      <w:hyperlink r:id="rId47">
        <w:r>
          <w:rPr>
            <w:rStyle w:val="Hyperlink"/>
          </w:rPr>
          <w:t xml:space="preserve">Form A2-1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Use state public-records laws for state-held records.</w:t>
      </w:r>
    </w:p>
    <w:p>
      <w:pPr>
        <w:pStyle w:val="Compact"/>
        <w:numPr>
          <w:ilvl w:val="0"/>
          <w:numId w:val="1008"/>
        </w:numPr>
      </w:pPr>
      <w:r>
        <w:t xml:space="preserve">If an agency releases UAP information selectively by viewpoint, consider a</w:t>
      </w:r>
      <w:r>
        <w:t xml:space="preserve"> </w:t>
      </w:r>
      <w:r>
        <w:rPr>
          <w:iCs/>
          <w:i/>
        </w:rPr>
        <w:t xml:space="preserve">Boardman</w:t>
      </w:r>
      <w:r>
        <w:t xml:space="preserve"> </w:t>
      </w:r>
      <w:r>
        <w:t xml:space="preserve">claim.</w:t>
      </w:r>
    </w:p>
    <w:p>
      <w:pPr>
        <w:pStyle w:val="Compact"/>
        <w:numPr>
          <w:ilvl w:val="0"/>
          <w:numId w:val="1008"/>
        </w:numPr>
      </w:pPr>
      <w:r>
        <w:t xml:space="preserve">For clients exposed to specific hazards, frame disclosure claims as duty-to-warn or state-created</w:t>
      </w:r>
      <w:r>
        <w:t xml:space="preserve"> </w:t>
      </w:r>
      <w:r>
        <w:t xml:space="preserve">danger claims tied to identified risks (</w:t>
      </w:r>
      <w:hyperlink r:id="rId31">
        <w:r>
          <w:rPr>
            <w:rStyle w:val="Hyperlink"/>
          </w:rPr>
          <w:t xml:space="preserve">Issue D6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For international advocacy, frame requests around OST Articles V and XI and the 1978 General Assembly</w:t>
      </w:r>
      <w:r>
        <w:t xml:space="preserve"> </w:t>
      </w:r>
      <w:r>
        <w:t xml:space="preserve">decision.</w:t>
      </w:r>
    </w:p>
    <w:p>
      <w:r>
        <w:pict>
          <v:rect style="width:0;height:1.5pt" o:hralign="center" o:hrstd="t" o:hr="t"/>
        </w:pict>
      </w:r>
    </w:p>
    <w:bookmarkEnd w:id="48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Is There a Duty to Disclose? Constitutional, Statutory, and International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47" Type="http://schemas.openxmlformats.org/officeDocument/2006/relationships/hyperlink" Target="https://nhilaw.com/forms/a2-1.html" TargetMode="External"/><Relationship Id="rId46" Type="http://schemas.openxmlformats.org/officeDocument/2006/relationships/hyperlink" Target="https://nhilaw.com/forms/a3-1.html" TargetMode="External"/><Relationship Id="rId21" Type="http://schemas.openxmlformats.org/officeDocument/2006/relationships/hyperlink" Target="https://nhilaw.com/forms/a4-1.html" TargetMode="External"/><Relationship Id="rId27" Type="http://schemas.openxmlformats.org/officeDocument/2006/relationships/hyperlink" Target="https://nhilaw.com/issues/a1.html" TargetMode="External"/><Relationship Id="rId23" Type="http://schemas.openxmlformats.org/officeDocument/2006/relationships/hyperlink" Target="https://nhilaw.com/issues/a3.html" TargetMode="External"/><Relationship Id="rId35" Type="http://schemas.openxmlformats.org/officeDocument/2006/relationships/hyperlink" Target="https://nhilaw.com/issues/b1.html" TargetMode="External"/><Relationship Id="rId28" Type="http://schemas.openxmlformats.org/officeDocument/2006/relationships/hyperlink" Target="https://nhilaw.com/issues/b3.html" TargetMode="External"/><Relationship Id="rId24" Type="http://schemas.openxmlformats.org/officeDocument/2006/relationships/hyperlink" Target="https://nhilaw.com/issues/d1.html" TargetMode="External"/><Relationship Id="rId31" Type="http://schemas.openxmlformats.org/officeDocument/2006/relationships/hyperlink" Target="https://nhilaw.com/issues/d6.html" TargetMode="External"/><Relationship Id="rId39" Type="http://schemas.openxmlformats.org/officeDocument/2006/relationships/hyperlink" Target="https://nhilaw.com/issues/f2.html" TargetMode="External"/><Relationship Id="rId43" Type="http://schemas.openxmlformats.org/officeDocument/2006/relationships/hyperlink" Target="https://nhilaw.com/issues/f6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47" Type="http://schemas.openxmlformats.org/officeDocument/2006/relationships/hyperlink" Target="https://nhilaw.com/forms/a2-1.html" TargetMode="External"/><Relationship Id="rId46" Type="http://schemas.openxmlformats.org/officeDocument/2006/relationships/hyperlink" Target="https://nhilaw.com/forms/a3-1.html" TargetMode="External"/><Relationship Id="rId21" Type="http://schemas.openxmlformats.org/officeDocument/2006/relationships/hyperlink" Target="https://nhilaw.com/forms/a4-1.html" TargetMode="External"/><Relationship Id="rId27" Type="http://schemas.openxmlformats.org/officeDocument/2006/relationships/hyperlink" Target="https://nhilaw.com/issues/a1.html" TargetMode="External"/><Relationship Id="rId23" Type="http://schemas.openxmlformats.org/officeDocument/2006/relationships/hyperlink" Target="https://nhilaw.com/issues/a3.html" TargetMode="External"/><Relationship Id="rId35" Type="http://schemas.openxmlformats.org/officeDocument/2006/relationships/hyperlink" Target="https://nhilaw.com/issues/b1.html" TargetMode="External"/><Relationship Id="rId28" Type="http://schemas.openxmlformats.org/officeDocument/2006/relationships/hyperlink" Target="https://nhilaw.com/issues/b3.html" TargetMode="External"/><Relationship Id="rId24" Type="http://schemas.openxmlformats.org/officeDocument/2006/relationships/hyperlink" Target="https://nhilaw.com/issues/d1.html" TargetMode="External"/><Relationship Id="rId31" Type="http://schemas.openxmlformats.org/officeDocument/2006/relationships/hyperlink" Target="https://nhilaw.com/issues/d6.html" TargetMode="External"/><Relationship Id="rId39" Type="http://schemas.openxmlformats.org/officeDocument/2006/relationships/hyperlink" Target="https://nhilaw.com/issues/f2.html" TargetMode="External"/><Relationship Id="rId43" Type="http://schemas.openxmlformats.org/officeDocument/2006/relationships/hyperlink" Target="https://nhilaw.com/issues/f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 There a Duty to Disclose? Constitutional, Statutory, and International Sources of an Obligation to Reveal the Existence of NHI</dc:title>
  <dc:creator>nhilaw.com</dc:creator>
  <cp:keywords/>
  <dcterms:created xsi:type="dcterms:W3CDTF">2026-10-19T03:12:01Z</dcterms:created>
  <dcterms:modified xsi:type="dcterms:W3CDTF">2026-10-19T03:12:01Z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nhilaw.com/issues/a4.html</vt:lpwstr>
  </property>
</Properties>
</file>