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4" w:name="X481379c81090a7160a711d7c5fddac042facc11"/>
    <w:p>
      <w:pPr>
        <w:pStyle w:val="Heading1"/>
      </w:pPr>
      <w:r>
        <w:t xml:space="preserve">Form A5-1. Sponsored Research Agreement Clauses Preserving the Fundamental Research Exclusion for UAP Studies</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https://nhilaw.com/forms/a5-1.html</w:t>
      </w:r>
    </w:p>
    <w:p>
      <w:pPr>
        <w:pStyle w:val="BodyText"/>
        <w:spacing w:after="160" w:line="259" w:lineRule="auto"/>
      </w:pPr>
      <w:r>
        <w:rPr>
          <w:bCs/>
          <w:b/>
        </w:rPr>
        <w:t xml:space="preserve">Use.</w:t>
      </w:r>
      <w:r>
        <w:t xml:space="preserve"> </w:t>
      </w:r>
      <w:r>
        <w:t xml:space="preserve">A university or research nonprofit accepts funding (government, foundation, or private) for UAP</w:t>
      </w:r>
      <w:r>
        <w:t xml:space="preserve"> </w:t>
      </w:r>
      <w:r>
        <w:t xml:space="preserve">research that is intended to be published. These clauses keep the project within the fundamental</w:t>
      </w:r>
      <w:r>
        <w:t xml:space="preserve"> </w:t>
      </w:r>
      <w:r>
        <w:t xml:space="preserve">research exclusion (15 C.F.R. §734.8; 22 C.F.R. §120.34(a)(8)) and keep controlled inputs out.</w:t>
      </w:r>
    </w:p>
    <w:p>
      <w:pPr>
        <w:pStyle w:val="BodyText"/>
        <w:spacing w:after="160" w:line="259" w:lineRule="auto"/>
      </w:pPr>
      <w:r>
        <w:rPr>
          <w:bCs/>
          <w:b/>
        </w:rPr>
        <w:t xml:space="preserve">When to use.</w:t>
      </w:r>
      <w:r>
        <w:t xml:space="preserve"> </w:t>
      </w:r>
      <w:r>
        <w:t xml:space="preserve">A university or research nonprofit accepting funding for UAP-related research that may involve sensor data, export-controlled material, or sponsor review.</w:t>
      </w:r>
      <w:r>
        <w:t xml:space="preserve"> </w:t>
      </w:r>
      <w:r>
        <w:rPr>
          <w:bCs/>
          <w:b/>
        </w:rPr>
        <w:t xml:space="preserve">Not for:</w:t>
      </w:r>
      <w:r>
        <w:t xml:space="preserve"> </w:t>
      </w:r>
      <w:r>
        <w:t xml:space="preserve">Classified research, which needs a security agreement and a facility clearance.</w:t>
      </w:r>
    </w:p>
    <w:p>
      <w:pPr>
        <w:pStyle w:val="BodyText"/>
        <w:spacing w:after="160" w:line="259" w:lineRule="auto"/>
      </w:pPr>
      <w:r>
        <w:rPr>
          <w:bCs/>
          <w:b/>
        </w:rPr>
        <w:t xml:space="preserve">Deadlines.</w:t>
      </w:r>
      <w:r>
        <w:t xml:space="preserve"> </w:t>
      </w:r>
      <w:r>
        <w:t xml:space="preserve">Negotiate before the award is signed; publication terms are hard to change afterward.</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Article __. Publication and Fundamental Research</w:t>
      </w:r>
    </w:p>
    <w:p>
      <w:pPr>
        <w:pStyle w:val="BodyText"/>
      </w:pPr>
      <w:r>
        <w:t xml:space="preserve">__.1</w:t>
      </w:r>
      <w:r>
        <w:t xml:space="preserve"> </w:t>
      </w:r>
      <w:r>
        <w:rPr>
          <w:bCs/>
          <w:b/>
        </w:rPr>
        <w:t xml:space="preserve">Fundamental research.</w:t>
      </w:r>
      <w:r>
        <w:t xml:space="preserve"> </w:t>
      </w:r>
      <w:r>
        <w:t xml:space="preserve">The parties intend that the research under this Agreement is fundamental</w:t>
      </w:r>
      <w:r>
        <w:t xml:space="preserve"> </w:t>
      </w:r>
      <w:r>
        <w:t xml:space="preserve">research, meaning basic or applied research in science and engineering the results of which ordinarily</w:t>
      </w:r>
      <w:r>
        <w:t xml:space="preserve"> </w:t>
      </w:r>
      <w:r>
        <w:t xml:space="preserve">are published and shared broadly within the research community, as described in National Security</w:t>
      </w:r>
      <w:r>
        <w:t xml:space="preserve"> </w:t>
      </w:r>
      <w:r>
        <w:t xml:space="preserve">Decision Directive 189 and 15 C.F.R. §734.8.</w:t>
      </w:r>
    </w:p>
    <w:p>
      <w:pPr>
        <w:pStyle w:val="BodyText"/>
      </w:pPr>
      <w:r>
        <w:t xml:space="preserve">__.2</w:t>
      </w:r>
      <w:r>
        <w:t xml:space="preserve"> </w:t>
      </w:r>
      <w:r>
        <w:rPr>
          <w:bCs/>
          <w:b/>
        </w:rPr>
        <w:t xml:space="preserve">Freedom to publish.</w:t>
      </w:r>
      <w:r>
        <w:t xml:space="preserve"> </w:t>
      </w:r>
      <w:r>
        <w:t xml:space="preserve">The Institution and its researchers may publish the results of the research</w:t>
      </w:r>
      <w:r>
        <w:t xml:space="preserve"> </w:t>
      </w:r>
      <w:r>
        <w:t xml:space="preserve">without the approval of Sponsor. Sponsor may review a proposed publication for [30] days solely to</w:t>
      </w:r>
      <w:r>
        <w:t xml:space="preserve"> </w:t>
      </w:r>
      <w:r>
        <w:t xml:space="preserve">identify (a) Sponsor proprietary information disclosed to the Institution under Article __, which the</w:t>
      </w:r>
      <w:r>
        <w:t xml:space="preserve"> </w:t>
      </w:r>
      <w:r>
        <w:t xml:space="preserve">Institution will remove, and (b) patentable inventions, for which the Institution will delay</w:t>
      </w:r>
      <w:r>
        <w:t xml:space="preserve"> </w:t>
      </w:r>
      <w:r>
        <w:t xml:space="preserve">publication for not more than [60] additional days to allow a patent filing. Sponsor review shall not</w:t>
      </w:r>
      <w:r>
        <w:t xml:space="preserve"> </w:t>
      </w:r>
      <w:r>
        <w:t xml:space="preserve">otherwise restrict, delay, or alter publication.</w:t>
      </w:r>
    </w:p>
    <w:p>
      <w:pPr>
        <w:pStyle w:val="BodyText"/>
      </w:pPr>
      <w:r>
        <w:t xml:space="preserve">__.3</w:t>
      </w:r>
      <w:r>
        <w:t xml:space="preserve"> </w:t>
      </w:r>
      <w:r>
        <w:rPr>
          <w:bCs/>
          <w:b/>
        </w:rPr>
        <w:t xml:space="preserve">No access or dissemination controls.</w:t>
      </w:r>
      <w:r>
        <w:t xml:space="preserve"> </w:t>
      </w:r>
      <w:r>
        <w:t xml:space="preserve">Sponsor shall not impose, and the Institution does not</w:t>
      </w:r>
      <w:r>
        <w:t xml:space="preserve"> </w:t>
      </w:r>
      <w:r>
        <w:t xml:space="preserve">accept, restrictions on the participation of foreign nationals or on the dissemination of results,</w:t>
      </w:r>
      <w:r>
        <w:t xml:space="preserve"> </w:t>
      </w:r>
      <w:r>
        <w:t xml:space="preserve">except as stated in section __.2.</w:t>
      </w:r>
    </w:p>
    <w:p>
      <w:pPr>
        <w:pStyle w:val="BodyText"/>
      </w:pPr>
      <w:r>
        <w:t xml:space="preserve">__.4</w:t>
      </w:r>
      <w:r>
        <w:t xml:space="preserve"> </w:t>
      </w:r>
      <w:r>
        <w:rPr>
          <w:bCs/>
          <w:b/>
        </w:rPr>
        <w:t xml:space="preserve">No controlled inputs without consent.</w:t>
      </w:r>
      <w:r>
        <w:t xml:space="preserve"> </w:t>
      </w:r>
      <w:r>
        <w:t xml:space="preserve">Sponsor shall not deliver to the Institution any item,</w:t>
      </w:r>
      <w:r>
        <w:t xml:space="preserve"> </w:t>
      </w:r>
      <w:r>
        <w:t xml:space="preserve">software, technology, or technical data that is (a) classified, (b) controlled under the International</w:t>
      </w:r>
      <w:r>
        <w:t xml:space="preserve"> </w:t>
      </w:r>
      <w:r>
        <w:t xml:space="preserve">Traffic in Arms Regulations, or (c) controlled under the Export Administration Regulations for reasons</w:t>
      </w:r>
      <w:r>
        <w:t xml:space="preserve"> </w:t>
      </w:r>
      <w:r>
        <w:t xml:space="preserve">other than anti-terrorism, without first identifying it in writing with its classification or export</w:t>
      </w:r>
      <w:r>
        <w:t xml:space="preserve"> </w:t>
      </w:r>
      <w:r>
        <w:t xml:space="preserve">control designation and obtaining the written consent of the Institution’s Export Control Officer.</w:t>
      </w:r>
      <w:r>
        <w:t xml:space="preserve"> </w:t>
      </w:r>
      <w:r>
        <w:t xml:space="preserve">Information delivered in violation of this section may be returned or destroyed by the Institution at</w:t>
      </w:r>
      <w:r>
        <w:t xml:space="preserve"> </w:t>
      </w:r>
      <w:r>
        <w:t xml:space="preserve">Sponsor’s expense.</w:t>
      </w:r>
    </w:p>
    <w:p>
      <w:pPr>
        <w:pStyle w:val="BodyText"/>
      </w:pPr>
      <w:r>
        <w:t xml:space="preserve">__.5</w:t>
      </w:r>
      <w:r>
        <w:t xml:space="preserve"> </w:t>
      </w:r>
      <w:r>
        <w:rPr>
          <w:bCs/>
          <w:b/>
        </w:rPr>
        <w:t xml:space="preserve">Sensor and government data.</w:t>
      </w:r>
      <w:r>
        <w:t xml:space="preserve"> </w:t>
      </w:r>
      <w:r>
        <w:t xml:space="preserve">Data obtained from a federal agency for the research shall be</w:t>
      </w:r>
      <w:r>
        <w:t xml:space="preserve"> </w:t>
      </w:r>
      <w:r>
        <w:t xml:space="preserve">received under a written data-use agreement that identifies any access restrictions. Restricted data</w:t>
      </w:r>
      <w:r>
        <w:t xml:space="preserve"> </w:t>
      </w:r>
      <w:r>
        <w:t xml:space="preserve">shall be segregated under a technology control plan, and results derived from them shall be reviewed by</w:t>
      </w:r>
      <w:r>
        <w:t xml:space="preserve"> </w:t>
      </w:r>
      <w:r>
        <w:t xml:space="preserve">the Export Control Officer before publication.</w:t>
      </w:r>
    </w:p>
    <w:p>
      <w:pPr>
        <w:pStyle w:val="BodyText"/>
      </w:pPr>
      <w:r>
        <w:t xml:space="preserve">__.5A</w:t>
      </w:r>
      <w:r>
        <w:t xml:space="preserve"> </w:t>
      </w:r>
      <w:r>
        <w:rPr>
          <w:bCs/>
          <w:b/>
        </w:rPr>
        <w:t xml:space="preserve">Controlled Unclassified Information.</w:t>
      </w:r>
      <w:r>
        <w:t xml:space="preserve"> </w:t>
      </w:r>
      <w:r>
        <w:t xml:space="preserve">The Sponsor shall identify in Schedule __, before delivery, any</w:t>
      </w:r>
      <w:r>
        <w:t xml:space="preserve"> </w:t>
      </w:r>
      <w:r>
        <w:t xml:space="preserve">information it will provide that is Controlled Unclassified Information under 32 C.F.R. part 2002, with its CUI</w:t>
      </w:r>
      <w:r>
        <w:t xml:space="preserve"> </w:t>
      </w:r>
      <w:r>
        <w:t xml:space="preserve">category and any dissemination controls. Information not so identified will be treated as not CUI. The Institution</w:t>
      </w:r>
      <w:r>
        <w:t xml:space="preserve"> </w:t>
      </w:r>
      <w:r>
        <w:t xml:space="preserve">will safeguard identified CUI under 32 C.F.R. part 2002 and, where the Sponsor’s prime contract includes DFARS</w:t>
      </w:r>
      <w:r>
        <w:t xml:space="preserve"> </w:t>
      </w:r>
      <w:r>
        <w:t xml:space="preserve">252.204-7012, under that clause’s requirements (including the security requirements of NIST SP 800-171 and the</w:t>
      </w:r>
      <w:r>
        <w:t xml:space="preserve"> </w:t>
      </w:r>
      <w:r>
        <w:t xml:space="preserve">72-hour cyber incident reporting duty). Identification of CUI does not by itself restrict publication of results</w:t>
      </w:r>
      <w:r>
        <w:t xml:space="preserve"> </w:t>
      </w:r>
      <w:r>
        <w:t xml:space="preserve">the Institution generates; any such restriction must be stated under section __.3 and must be agreed in writing.</w:t>
      </w:r>
    </w:p>
    <w:p>
      <w:pPr>
        <w:pStyle w:val="BodyText"/>
      </w:pPr>
      <w:r>
        <w:t xml:space="preserve">__.5B</w:t>
      </w:r>
      <w:r>
        <w:t xml:space="preserve"> </w:t>
      </w:r>
      <w:r>
        <w:rPr>
          <w:bCs/>
          <w:b/>
        </w:rPr>
        <w:t xml:space="preserve">Foreign nationals.</w:t>
      </w:r>
      <w:r>
        <w:t xml:space="preserve"> </w:t>
      </w:r>
      <w:r>
        <w:t xml:space="preserve">No researcher shall be excluded from the project because of citizenship. If the</w:t>
      </w:r>
      <w:r>
        <w:t xml:space="preserve"> </w:t>
      </w:r>
      <w:r>
        <w:t xml:space="preserve">Sponsor identifies technology or technical data that would require an export license for release to a foreign</w:t>
      </w:r>
      <w:r>
        <w:t xml:space="preserve"> </w:t>
      </w:r>
      <w:r>
        <w:t xml:space="preserve">person (a</w:t>
      </w:r>
      <w:r>
        <w:t xml:space="preserve"> </w:t>
      </w:r>
      <w:r>
        <w:t xml:space="preserve">“</w:t>
      </w:r>
      <w:r>
        <w:t xml:space="preserve">deemed export,</w:t>
      </w:r>
      <w:r>
        <w:t xml:space="preserve">”</w:t>
      </w:r>
      <w:r>
        <w:t xml:space="preserve"> </w:t>
      </w:r>
      <w:r>
        <w:t xml:space="preserve">15 C.F.R. §734.13(b); 22 C.F.R. §120.50(a)(2)), the Institution’s Export Control Officer</w:t>
      </w:r>
      <w:r>
        <w:t xml:space="preserve"> </w:t>
      </w:r>
      <w:r>
        <w:t xml:space="preserve">will decide whether to seek a license, restrict that element to cleared or U.S.-person staff under a technology</w:t>
      </w:r>
      <w:r>
        <w:t xml:space="preserve"> </w:t>
      </w:r>
      <w:r>
        <w:t xml:space="preserve">control plan, or decline it. Restricting an element under this section does not change the fundamental research</w:t>
      </w:r>
      <w:r>
        <w:t xml:space="preserve"> </w:t>
      </w:r>
      <w:r>
        <w:t xml:space="preserve">status of the rest of the project.</w:t>
      </w:r>
    </w:p>
    <w:p>
      <w:pPr>
        <w:pStyle w:val="BodyText"/>
      </w:pPr>
      <w:r>
        <w:t xml:space="preserve">__.6</w:t>
      </w:r>
      <w:r>
        <w:t xml:space="preserve"> </w:t>
      </w:r>
      <w:r>
        <w:rPr>
          <w:bCs/>
          <w:b/>
        </w:rPr>
        <w:t xml:space="preserve">Unsolicited information.</w:t>
      </w:r>
      <w:r>
        <w:t xml:space="preserve"> </w:t>
      </w:r>
      <w:r>
        <w:t xml:space="preserve">If any person provides the Institution or its researchers with</w:t>
      </w:r>
      <w:r>
        <w:t xml:space="preserve"> </w:t>
      </w:r>
      <w:r>
        <w:t xml:space="preserve">information that is or appears to be classified or export-controlled in connection with the research,</w:t>
      </w:r>
      <w:r>
        <w:t xml:space="preserve"> </w:t>
      </w:r>
      <w:r>
        <w:t xml:space="preserve">the Institution will handle it under its policy on unsolicited sensitive information (see</w:t>
      </w:r>
      <w:r>
        <w:t xml:space="preserve"> </w:t>
      </w:r>
      <w:hyperlink r:id="rId20">
        <w:r>
          <w:rPr>
            <w:rStyle w:val="Hyperlink"/>
          </w:rPr>
          <w:t xml:space="preserve">Form A5-2</w:t>
        </w:r>
      </w:hyperlink>
      <w:r>
        <w:t xml:space="preserve">)</w:t>
      </w:r>
      <w:r>
        <w:t xml:space="preserve"> </w:t>
      </w:r>
      <w:r>
        <w:t xml:space="preserve">and will not use it in the research without written determination by the appropriate authority.</w:t>
      </w:r>
    </w:p>
    <w:p>
      <w:pPr>
        <w:pStyle w:val="BodyText"/>
      </w:pPr>
      <w:r>
        <w:t xml:space="preserve">__.7</w:t>
      </w:r>
      <w:r>
        <w:t xml:space="preserve"> </w:t>
      </w:r>
      <w:r>
        <w:rPr>
          <w:bCs/>
          <w:b/>
        </w:rPr>
        <w:t xml:space="preserve">Physical material.</w:t>
      </w:r>
      <w:r>
        <w:t xml:space="preserve"> </w:t>
      </w:r>
      <w:r>
        <w:t xml:space="preserve">Any physical sample, material, or artifact provided for study shall be</w:t>
      </w:r>
      <w:r>
        <w:t xml:space="preserve"> </w:t>
      </w:r>
      <w:r>
        <w:t xml:space="preserve">accompanied by a written statement of its provenance and of any claim of ownership, classification, or</w:t>
      </w:r>
      <w:r>
        <w:t xml:space="preserve"> </w:t>
      </w:r>
      <w:r>
        <w:t xml:space="preserve">export control. The Institution may decline any material lacking such a statement.</w:t>
      </w:r>
    </w:p>
    <w:p>
      <w:pPr>
        <w:pStyle w:val="BodyText"/>
      </w:pPr>
      <w:r>
        <w:t xml:space="preserve">__.8</w:t>
      </w:r>
      <w:r>
        <w:t xml:space="preserve"> </w:t>
      </w:r>
      <w:r>
        <w:rPr>
          <w:bCs/>
          <w:b/>
        </w:rPr>
        <w:t xml:space="preserve">Academic freedom.</w:t>
      </w:r>
      <w:r>
        <w:t xml:space="preserve"> </w:t>
      </w:r>
      <w:r>
        <w:t xml:space="preserve">Nothing in this Agreement limits the right of the Institution’s researchers to</w:t>
      </w:r>
      <w:r>
        <w:t xml:space="preserve"> </w:t>
      </w:r>
      <w:r>
        <w:t xml:space="preserve">choose research methods, interpret results, or state conclusions, including conclusions concerning</w:t>
      </w:r>
      <w:r>
        <w:t xml:space="preserve"> </w:t>
      </w:r>
      <w:r>
        <w:t xml:space="preserve">unidentified anomalous phenomena or the possible non-human origin of any phenomenon or material.</w:t>
      </w:r>
    </w:p>
    <w:p>
      <w:pPr>
        <w:pStyle w:val="BodyText"/>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Start w:id="23" w:name="drafting-notes"/>
    <w:p>
      <w:pPr>
        <w:pStyle w:val="Heading2"/>
      </w:pPr>
      <w:r>
        <w:t xml:space="preserve">Drafting notes</w:t>
      </w:r>
    </w:p>
    <w:p>
      <w:pPr>
        <w:pStyle w:val="Compact"/>
        <w:numPr>
          <w:ilvl w:val="0"/>
          <w:numId w:val="1001"/>
        </w:numPr>
      </w:pPr>
      <w:r>
        <w:t xml:space="preserve">Section __.2 tracks the EAR’s allowance for customary prepublication review. ITAR does not include that</w:t>
      </w:r>
      <w:r>
        <w:t xml:space="preserve"> </w:t>
      </w:r>
      <w:r>
        <w:t xml:space="preserve">allowance; if ITAR-controlled inputs are involved, the project is not fundamental research and needs a</w:t>
      </w:r>
      <w:r>
        <w:t xml:space="preserve"> </w:t>
      </w:r>
      <w:r>
        <w:t xml:space="preserve">technology control plan.</w:t>
      </w:r>
    </w:p>
    <w:p>
      <w:pPr>
        <w:pStyle w:val="Compact"/>
        <w:numPr>
          <w:ilvl w:val="0"/>
          <w:numId w:val="1001"/>
        </w:numPr>
      </w:pPr>
      <w:r>
        <w:t xml:space="preserve">Section __.7 addresses chain of custody and ownership; see</w:t>
      </w:r>
      <w:r>
        <w:t xml:space="preserve"> </w:t>
      </w:r>
      <w:hyperlink r:id="rId21">
        <w:r>
          <w:rPr>
            <w:rStyle w:val="Hyperlink"/>
          </w:rPr>
          <w:t xml:space="preserve">Issue E3</w:t>
        </w:r>
      </w:hyperlink>
      <w:r>
        <w:t xml:space="preserve"> </w:t>
      </w:r>
      <w:r>
        <w:t xml:space="preserve">(privately found material) and</w:t>
      </w:r>
      <w:r>
        <w:t xml:space="preserve"> </w:t>
      </w:r>
      <w:hyperlink r:id="rId22">
        <w:r>
          <w:rPr>
            <w:rStyle w:val="Hyperlink"/>
          </w:rPr>
          <w:t xml:space="preserve">Issue E1</w:t>
        </w:r>
      </w:hyperlink>
      <w:r>
        <w:t xml:space="preserve"> </w:t>
      </w:r>
      <w:r>
        <w:t xml:space="preserve">(takings), which would matter if the pending House bill’s eminent-domain provision (H.R. 8800</w:t>
      </w:r>
      <w:r>
        <w:t xml:space="preserve"> </w:t>
      </w:r>
      <w:r>
        <w:t xml:space="preserve">§1767) became law.</w:t>
      </w:r>
    </w:p>
    <w:bookmarkEnd w:id="23"/>
    <w:bookmarkEnd w:id="24"/>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a5-2.html" TargetMode="External"/><Relationship Id="rId22" Type="http://schemas.openxmlformats.org/officeDocument/2006/relationships/hyperlink" Target="https://nhilaw.com/issues/e1.html" TargetMode="External"/><Relationship Id="rId21" Type="http://schemas.openxmlformats.org/officeDocument/2006/relationships/hyperlink" Target="https://nhilaw.com/issues/e3.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a5-2.html" TargetMode="External"/><Relationship Id="rId22" Type="http://schemas.openxmlformats.org/officeDocument/2006/relationships/hyperlink" Target="https://nhilaw.com/issues/e1.html" TargetMode="External"/><Relationship Id="rId21" Type="http://schemas.openxmlformats.org/officeDocument/2006/relationships/hyperlink" Target="https://nhilaw.com/issues/e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A5-1. Sponsored Research Agreement Clauses Preserving the Fundamental Research Exclusion for UAP Studies</dc:title>
  <dc:creator>nhilaw.com</dc:creator>
  <cp:keywords/>
  <dcterms:created xsi:type="dcterms:W3CDTF">2026-10-19T03:12:16Z</dcterms:created>
  <dcterms:modified xsi:type="dcterms:W3CDTF">2026-10-19T03:12:16Z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