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a556c164f78b17befd68c2b155efa91e03810d1"/>
    <w:p>
      <w:pPr>
        <w:pStyle w:val="Heading1"/>
      </w:pPr>
      <w:r>
        <w:t xml:space="preserve">Form A5-2. Institutional Policy on Unsolicited UAP Information, Classified Material, and Physical Samples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https://nhilaw.com/forms/a5-2.html</w:t>
      </w:r>
    </w:p>
    <w:p>
      <w:pPr>
        <w:pStyle w:val="BodyText"/>
        <w:spacing w:after="160" w:line="259" w:lineRule="auto"/>
      </w:pPr>
      <w:r>
        <w:rPr>
          <w:bCs/>
          <w:b/>
        </w:rPr>
        <w:t xml:space="preserve">Purpose.</w:t>
      </w:r>
      <w:r>
        <w:t xml:space="preserve"> </w:t>
      </w:r>
      <w:r>
        <w:t xml:space="preserve">People with UAP information increasingly approach researchers directly. Some of what they</w:t>
      </w:r>
      <w:r>
        <w:t xml:space="preserve"> </w:t>
      </w:r>
      <w:r>
        <w:t xml:space="preserve">offer may be classified, export-controlled, or physical material of uncertain ownership. This policy</w:t>
      </w:r>
      <w:r>
        <w:t xml:space="preserve"> </w:t>
      </w:r>
      <w:r>
        <w:t xml:space="preserve">protects the institution and its personnel and preserves the value of genuine information.</w:t>
      </w:r>
    </w:p>
    <w:p>
      <w:pPr>
        <w:pStyle w:val="BodyText"/>
        <w:spacing w:after="160" w:line="259" w:lineRule="auto"/>
      </w:pPr>
      <w:r>
        <w:rPr>
          <w:bCs/>
          <w:b/>
        </w:rPr>
        <w:t xml:space="preserve">When to use.</w:t>
      </w:r>
      <w:r>
        <w:t xml:space="preserve"> </w:t>
      </w:r>
      <w:r>
        <w:t xml:space="preserve">An institution that may receive unsolicited UAP information or material from outsiders.</w:t>
      </w:r>
      <w:r>
        <w:t xml:space="preserve"> </w:t>
      </w:r>
      <w:r>
        <w:rPr>
          <w:bCs/>
          <w:b/>
        </w:rPr>
        <w:t xml:space="preserve">Not for:</w:t>
      </w:r>
      <w:r>
        <w:t xml:space="preserve"> </w:t>
      </w:r>
      <w:r>
        <w:t xml:space="preserve">Information received under a sponsored-research agreement (</w:t>
      </w:r>
      <w:hyperlink r:id="rId20">
        <w:r>
          <w:rPr>
            <w:rStyle w:val="Hyperlink"/>
          </w:rPr>
          <w:t xml:space="preserve">Form A5-1</w:t>
        </w:r>
      </w:hyperlink>
      <w:r>
        <w:t xml:space="preserve">).</w:t>
      </w:r>
    </w:p>
    <w:p>
      <w:pPr>
        <w:pStyle w:val="BodyText"/>
        <w:spacing w:after="160" w:line="259" w:lineRule="auto"/>
      </w:pPr>
      <w:r>
        <w:rPr>
          <w:bCs/>
          <w:b/>
        </w:rPr>
        <w:t xml:space="preserve">Deadlines.</w:t>
      </w:r>
      <w:r>
        <w:t xml:space="preserve"> </w:t>
      </w:r>
      <w:r>
        <w:t xml:space="preserve">Adopt before the first approach; apply the reporting steps the day material arrives.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[INSTITUTION] POLICY ON UNSOLICITED SENSITIVE INFORMATION AND MATERIAL RELATING TO UNIDENTIFIED</w:t>
      </w:r>
      <w:r>
        <w:rPr>
          <w:bCs/>
          <w:b/>
        </w:rPr>
        <w:t xml:space="preserve"> </w:t>
      </w:r>
      <w:r>
        <w:rPr>
          <w:bCs/>
          <w:b/>
        </w:rPr>
        <w:t xml:space="preserve">ANOMALOUS PHENOMENA</w:t>
      </w:r>
    </w:p>
    <w:p>
      <w:pPr>
        <w:pStyle w:val="BodyText"/>
      </w:pPr>
      <w:r>
        <w:rPr>
          <w:bCs/>
          <w:b/>
        </w:rPr>
        <w:t xml:space="preserve">1. Scope.</w:t>
      </w:r>
      <w:r>
        <w:t xml:space="preserve"> </w:t>
      </w:r>
      <w:r>
        <w:t xml:space="preserve">This policy applies to all faculty, staff, students, and affiliates who receive, in</w:t>
      </w:r>
      <w:r>
        <w:t xml:space="preserve"> </w:t>
      </w:r>
      <w:r>
        <w:t xml:space="preserve">connection with institutional activities, any document, data, image, recording, software, or physical</w:t>
      </w:r>
      <w:r>
        <w:t xml:space="preserve"> </w:t>
      </w:r>
      <w:r>
        <w:t xml:space="preserve">object relating to unidentified anomalous phenomena (</w:t>
      </w:r>
      <w:r>
        <w:t xml:space="preserve">“</w:t>
      </w:r>
      <w:r>
        <w:t xml:space="preserve">UAP</w:t>
      </w:r>
      <w:r>
        <w:t xml:space="preserve">”</w:t>
      </w:r>
      <w:r>
        <w:t xml:space="preserve">) that is offered by a person outside the</w:t>
      </w:r>
      <w:r>
        <w:t xml:space="preserve"> </w:t>
      </w:r>
      <w:r>
        <w:t xml:space="preserve">institution and that (a) bears classification or control markings, (b) the provider states is</w:t>
      </w:r>
      <w:r>
        <w:t xml:space="preserve"> </w:t>
      </w:r>
      <w:r>
        <w:t xml:space="preserve">classified, controlled, or obtained through government or contractor employment, or (c) is a physical</w:t>
      </w:r>
      <w:r>
        <w:t xml:space="preserve"> </w:t>
      </w:r>
      <w:r>
        <w:t xml:space="preserve">sample or artifact.</w:t>
      </w:r>
    </w:p>
    <w:p>
      <w:pPr>
        <w:pStyle w:val="BodyText"/>
      </w:pPr>
      <w:r>
        <w:rPr>
          <w:bCs/>
          <w:b/>
        </w:rPr>
        <w:t xml:space="preserve">2. Marked or described classified information.</w:t>
      </w:r>
      <w:r>
        <w:t xml:space="preserve"> </w:t>
      </w:r>
      <w:r>
        <w:t xml:space="preserve">A recipient shall not open, read, copy, forward,</w:t>
      </w:r>
      <w:r>
        <w:t xml:space="preserve"> </w:t>
      </w:r>
      <w:r>
        <w:t xml:space="preserve">photograph, upload, or discuss the content of any item described in section 1(a) or (b). The recipient</w:t>
      </w:r>
      <w:r>
        <w:t xml:space="preserve"> </w:t>
      </w:r>
      <w:r>
        <w:t xml:space="preserve">shall secure it, note the date, time, and manner of receipt and the provider’s identity if known, and</w:t>
      </w:r>
      <w:r>
        <w:t xml:space="preserve"> </w:t>
      </w:r>
      <w:r>
        <w:t xml:space="preserve">notify the [Facility Security Officer / General Counsel] within [24] hours. If the item arrived</w:t>
      </w:r>
      <w:r>
        <w:t xml:space="preserve"> </w:t>
      </w:r>
      <w:r>
        <w:t xml:space="preserve">electronically, the recipient shall not delete it and shall disconnect the device from networks pending</w:t>
      </w:r>
      <w:r>
        <w:t xml:space="preserve"> </w:t>
      </w:r>
      <w:r>
        <w:t xml:space="preserve">instructions. The Facility Security Officer will determine whether reporting is required under 32 C.F.R.</w:t>
      </w:r>
      <w:r>
        <w:t xml:space="preserve"> </w:t>
      </w:r>
      <w:r>
        <w:t xml:space="preserve">part 117 or otherwise.</w:t>
      </w:r>
    </w:p>
    <w:p>
      <w:pPr>
        <w:pStyle w:val="BodyText"/>
      </w:pPr>
      <w:r>
        <w:rPr>
          <w:bCs/>
          <w:b/>
        </w:rPr>
        <w:t xml:space="preserve">3. Referral of providers.</w:t>
      </w:r>
      <w:r>
        <w:t xml:space="preserve"> </w:t>
      </w:r>
      <w:r>
        <w:t xml:space="preserve">Personnel shall inform a provider who claims to hold classified UAP</w:t>
      </w:r>
      <w:r>
        <w:t xml:space="preserve"> </w:t>
      </w:r>
      <w:r>
        <w:t xml:space="preserve">information that federal law establishes a protected channel for authorized disclosures to the</w:t>
      </w:r>
      <w:r>
        <w:t xml:space="preserve"> </w:t>
      </w:r>
      <w:r>
        <w:t xml:space="preserve">All-domain Anomaly Resolution Office (50 U.S.C. §3373b) and that the provider should consult counsel.</w:t>
      </w:r>
      <w:r>
        <w:t xml:space="preserve"> </w:t>
      </w:r>
      <w:r>
        <w:t xml:space="preserve">Personnel shall not solicit classified information.</w:t>
      </w:r>
    </w:p>
    <w:p>
      <w:pPr>
        <w:pStyle w:val="BodyText"/>
      </w:pPr>
      <w:r>
        <w:rPr>
          <w:bCs/>
          <w:b/>
        </w:rPr>
        <w:t xml:space="preserve">4. Export-controlled information.</w:t>
      </w:r>
      <w:r>
        <w:t xml:space="preserve"> </w:t>
      </w:r>
      <w:r>
        <w:t xml:space="preserve">Items described as export-controlled or derived from defense</w:t>
      </w:r>
      <w:r>
        <w:t xml:space="preserve"> </w:t>
      </w:r>
      <w:r>
        <w:t xml:space="preserve">programs shall be referred to the Export Control Officer before any use and shall not be shared with</w:t>
      </w:r>
      <w:r>
        <w:t xml:space="preserve"> </w:t>
      </w:r>
      <w:r>
        <w:t xml:space="preserve">any foreign person pending a determination.</w:t>
      </w:r>
    </w:p>
    <w:p>
      <w:pPr>
        <w:pStyle w:val="BodyText"/>
      </w:pPr>
      <w:r>
        <w:rPr>
          <w:bCs/>
          <w:b/>
        </w:rPr>
        <w:t xml:space="preserve">5. Physical samples and artifacts.</w:t>
      </w:r>
      <w:r>
        <w:t xml:space="preserve"> </w:t>
      </w:r>
      <w:r>
        <w:t xml:space="preserve">A recipient shall not accept a physical sample or artifact without</w:t>
      </w:r>
      <w:r>
        <w:t xml:space="preserve"> </w:t>
      </w:r>
      <w:r>
        <w:t xml:space="preserve">written approval of [the Office of Research]. Approval requires: a written provenance statement from the</w:t>
      </w:r>
      <w:r>
        <w:t xml:space="preserve"> </w:t>
      </w:r>
      <w:r>
        <w:t xml:space="preserve">provider (who found or obtained the item, where, when, and how); the provider’s statement of ownership</w:t>
      </w:r>
      <w:r>
        <w:t xml:space="preserve"> </w:t>
      </w:r>
      <w:r>
        <w:t xml:space="preserve">and of any government claim; photographs and a chain-of-custody record from the moment of receipt;</w:t>
      </w:r>
      <w:r>
        <w:t xml:space="preserve"> </w:t>
      </w:r>
      <w:r>
        <w:t xml:space="preserve">storage in a controlled location; and a material-transfer agreement allocating ownership, analysis</w:t>
      </w:r>
      <w:r>
        <w:t xml:space="preserve"> </w:t>
      </w:r>
      <w:r>
        <w:t xml:space="preserve">rights, publication rights, and return or disposal. Items found on federal land or claimed by any</w:t>
      </w:r>
      <w:r>
        <w:t xml:space="preserve"> </w:t>
      </w:r>
      <w:r>
        <w:t xml:space="preserve">government shall be referred to counsel before acceptance.</w:t>
      </w:r>
    </w:p>
    <w:p>
      <w:pPr>
        <w:pStyle w:val="BodyText"/>
      </w:pPr>
      <w:r>
        <w:rPr>
          <w:bCs/>
          <w:b/>
        </w:rPr>
        <w:t xml:space="preserve">6. Publication.</w:t>
      </w:r>
      <w:r>
        <w:t xml:space="preserve"> </w:t>
      </w:r>
      <w:r>
        <w:t xml:space="preserve">No information covered by sections 2 or 4 may be used in publication or teaching</w:t>
      </w:r>
      <w:r>
        <w:t xml:space="preserve"> </w:t>
      </w:r>
      <w:r>
        <w:t xml:space="preserve">until counsel confirms that it is lawfully available.</w:t>
      </w:r>
    </w:p>
    <w:p>
      <w:pPr>
        <w:pStyle w:val="BodyText"/>
      </w:pPr>
      <w:r>
        <w:rPr>
          <w:bCs/>
          <w:b/>
        </w:rPr>
        <w:t xml:space="preserve">7. Recordkeeping and confidentiality.</w:t>
      </w:r>
      <w:r>
        <w:t xml:space="preserve"> </w:t>
      </w:r>
      <w:r>
        <w:t xml:space="preserve">The [Office of General Counsel] shall maintain records of all</w:t>
      </w:r>
      <w:r>
        <w:t xml:space="preserve"> </w:t>
      </w:r>
      <w:r>
        <w:t xml:space="preserve">reports under this policy. Reports and the identity of providers shall be kept confidential to the extent</w:t>
      </w:r>
      <w:r>
        <w:t xml:space="preserve"> </w:t>
      </w:r>
      <w:r>
        <w:t xml:space="preserve">permitted by law.</w:t>
      </w:r>
    </w:p>
    <w:p>
      <w:pPr>
        <w:pStyle w:val="BodyText"/>
      </w:pPr>
      <w:r>
        <w:rPr>
          <w:bCs/>
          <w:b/>
        </w:rPr>
        <w:t xml:space="preserve">8. Non-retaliation.</w:t>
      </w:r>
      <w:r>
        <w:t xml:space="preserve"> </w:t>
      </w:r>
      <w:r>
        <w:t xml:space="preserve">No person shall be disciplined for reporting under this policy or for engaging in</w:t>
      </w:r>
      <w:r>
        <w:t xml:space="preserve"> </w:t>
      </w:r>
      <w:r>
        <w:t xml:space="preserve">lawful research on UAP.</w:t>
      </w:r>
    </w:p>
    <w:p>
      <w:pPr>
        <w:pStyle w:val="BodyText"/>
      </w:pPr>
      <w:r>
        <w:rPr>
          <w:bCs/>
          <w:b/>
        </w:rPr>
        <w:t xml:space="preserve">9. Questions.</w:t>
      </w:r>
      <w:r>
        <w:t xml:space="preserve"> </w:t>
      </w:r>
      <w:r>
        <w:t xml:space="preserve">Contact [names, offices].</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1"/>
        </w:numPr>
      </w:pPr>
      <w:r>
        <w:t xml:space="preserve">Section 2 reflects the rule that unauthorized disclosure does not declassify information; possession and</w:t>
      </w:r>
      <w:r>
        <w:t xml:space="preserve"> </w:t>
      </w:r>
      <w:r>
        <w:t xml:space="preserve">further dissemination can create exposure under 18 U.S.C. §793(e) (</w:t>
      </w:r>
      <w:hyperlink r:id="rId21">
        <w:r>
          <w:rPr>
            <w:rStyle w:val="Hyperlink"/>
          </w:rPr>
          <w:t xml:space="preserve">Issue B4</w:t>
        </w:r>
      </w:hyperlink>
      <w:r>
        <w:t xml:space="preserve">).</w:t>
      </w:r>
    </w:p>
    <w:p>
      <w:pPr>
        <w:pStyle w:val="Compact"/>
        <w:numPr>
          <w:ilvl w:val="0"/>
          <w:numId w:val="1001"/>
        </w:numPr>
      </w:pPr>
      <w:r>
        <w:t xml:space="preserve">Section 5 anticipates ownership disputes and possible takings claims (Issues E1, E3).</w:t>
      </w:r>
    </w:p>
    <w:p>
      <w:pPr>
        <w:pStyle w:val="Compact"/>
        <w:numPr>
          <w:ilvl w:val="0"/>
          <w:numId w:val="1001"/>
        </w:numPr>
      </w:pPr>
      <w:r>
        <w:t xml:space="preserve">Media organizations should adapt section 6 to their editorial review process.</w:t>
      </w:r>
    </w:p>
    <w:bookmarkEnd w:id="22"/>
    <w:bookmarkEnd w:id="23"/>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a5-1.html" TargetMode="External"/><Relationship Id="rId21" Type="http://schemas.openxmlformats.org/officeDocument/2006/relationships/hyperlink" Target="https://nhilaw.com/issues/b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a5-1.html" TargetMode="External"/><Relationship Id="rId21" Type="http://schemas.openxmlformats.org/officeDocument/2006/relationships/hyperlink" Target="https://nhilaw.com/issues/b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A5-2. Institutional Policy on Unsolicited UAP Information, Classified Material, and Physical Samples</dc:title>
  <dc:creator>nhilaw.com</dc:creator>
  <cp:keywords/>
  <dcterms:created xsi:type="dcterms:W3CDTF">2026-10-19T03:12:18Z</dcterms:created>
  <dcterms:modified xsi:type="dcterms:W3CDTF">2026-10-19T03:12:18Z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