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Researching Anomalies Lawfully: Classification, Export Controls, and Academic Freedom in UAP Science</w:t>
      </w:r>
    </w:p>
    <w:p>
      <w:pPr>
        <w:pStyle w:val="Subtitle"/>
      </w:pPr>
      <w:r>
        <w:t xml:space="preserve">Version 1.10 · October 2026 · nhilaw.com/issues/a5.html</w:t>
      </w:r>
    </w:p>
    <w:p>
      <w:pPr>
        <w:pStyle w:val="FirstParagraph"/>
      </w:pPr>
      <w:r>
        <w:rPr>
          <w:iCs/>
          <w:i/>
        </w:rPr>
        <w:t xml:space="preserve">Version 1.10, October 2026. Legal information, not legal advice. Published by the</w:t>
      </w:r>
      <w:r>
        <w:rPr>
          <w:iCs/>
          <w:i/>
        </w:rPr>
        <w:t xml:space="preserve"> </w:t>
      </w:r>
      <w:hyperlink r:id="rId20">
        <w:r>
          <w:rPr>
            <w:rStyle w:val="Hyperlink"/>
            <w:iCs/>
            <w:i/>
          </w:rPr>
          <w:t xml:space="preserve">Emergent Frontiers Institute</w:t>
        </w:r>
      </w:hyperlink>
      <w:r>
        <w:rPr>
          <w:iCs/>
          <w:i/>
        </w:rPr>
        <w:t xml:space="preserve"> </w:t>
      </w:r>
      <w:r>
        <w:rPr>
          <w:iCs/>
          <w:i/>
        </w:rPr>
        <w:t xml:space="preserve">(NHI Law is not a law firm). Citations checked in October 2026; check every citation before relying on it.</w:t>
      </w:r>
    </w:p>
    <w:p>
      <w:pPr>
        <w:pStyle w:val="BodyText"/>
      </w:pPr>
      <w:r>
        <w:rPr>
          <w:bCs/>
          <w:b/>
        </w:rPr>
        <w:t xml:space="preserve">Audience.</w:t>
      </w:r>
      <w:r>
        <w:t xml:space="preserve"> </w:t>
      </w:r>
      <w:r>
        <w:t xml:space="preserve">University counsel and research-compliance officers, export-control officers, counsel to</w:t>
      </w:r>
      <w:r>
        <w:t xml:space="preserve"> </w:t>
      </w:r>
      <w:r>
        <w:t xml:space="preserve">scientists and research nonprofits, and contractor counsel.</w:t>
      </w:r>
    </w:p>
    <w:p>
      <w:r>
        <w:pict>
          <v:rect style="width:0;height:1.5pt" o:hralign="center" o:hrstd="t" o:hr="t"/>
        </w:pict>
      </w:r>
    </w:p>
    <w:bookmarkStart w:id="22" w:name="key-points"/>
    <w:p>
      <w:pPr>
        <w:pStyle w:val="Heading2"/>
      </w:pPr>
      <w:r>
        <w:t xml:space="preserve">Key points</w:t>
      </w:r>
    </w:p>
    <w:p>
      <w:pPr>
        <w:pStyle w:val="Compact"/>
        <w:numPr>
          <w:ilvl w:val="0"/>
          <w:numId w:val="1001"/>
        </w:numPr>
      </w:pPr>
      <w:r>
        <w:t xml:space="preserve">Fundamental research is meant to stay unrestricted, and classification is the only proper control on it (NSDD-189; EO 13526 §1.7(b)); the government cannot classify a private researcher’s independent work.</w:t>
      </w:r>
    </w:p>
    <w:p>
      <w:pPr>
        <w:pStyle w:val="Compact"/>
        <w:numPr>
          <w:ilvl w:val="0"/>
          <w:numId w:val="1001"/>
        </w:numPr>
      </w:pPr>
      <w:r>
        <w:t xml:space="preserve">Export controls exclude published fundamental research, but a project loses the exclusion if it accepts publication restrictions or uses controlled inputs, and sharing controlled data with foreign nationals is a deemed export (</w:t>
      </w:r>
      <w:r>
        <w:rPr>
          <w:iCs/>
          <w:i/>
        </w:rPr>
        <w:t xml:space="preserve">Roth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Controlled Unclassified Information (32 C.F.R. part 2002; DFARS 252.204-7012) reaches more university projects than classification does.</w:t>
      </w:r>
    </w:p>
    <w:p>
      <w:pPr>
        <w:pStyle w:val="Compact"/>
        <w:numPr>
          <w:ilvl w:val="0"/>
          <w:numId w:val="1001"/>
        </w:numPr>
      </w:pPr>
      <w:r>
        <w:t xml:space="preserve">Public university researchers have First Amendment protection for scholarship in several circuits after</w:t>
      </w:r>
      <w:r>
        <w:t xml:space="preserve"> </w:t>
      </w:r>
      <w:r>
        <w:rPr>
          <w:iCs/>
          <w:i/>
        </w:rPr>
        <w:t xml:space="preserve">Garcetti</w:t>
      </w:r>
      <w:r>
        <w:t xml:space="preserve"> </w:t>
      </w:r>
      <w:r>
        <w:t xml:space="preserve">(</w:t>
      </w:r>
      <w:r>
        <w:rPr>
          <w:iCs/>
          <w:i/>
        </w:rPr>
        <w:t xml:space="preserve">Adams</w:t>
      </w:r>
      <w:r>
        <w:t xml:space="preserve">;</w:t>
      </w:r>
      <w:r>
        <w:t xml:space="preserve"> </w:t>
      </w:r>
      <w:r>
        <w:rPr>
          <w:iCs/>
          <w:i/>
        </w:rPr>
        <w:t xml:space="preserve">Demers</w:t>
      </w:r>
      <w:r>
        <w:t xml:space="preserve">;</w:t>
      </w:r>
      <w:r>
        <w:t xml:space="preserve"> </w:t>
      </w:r>
      <w:r>
        <w:rPr>
          <w:iCs/>
          <w:i/>
        </w:rPr>
        <w:t xml:space="preserve">Meriwether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Never open or keep marked material offered by an insider; route it to the security officer (</w:t>
      </w:r>
      <w:hyperlink r:id="rId21">
        <w:r>
          <w:rPr>
            <w:rStyle w:val="Hyperlink"/>
          </w:rPr>
          <w:t xml:space="preserve">Form A5-2</w:t>
        </w:r>
      </w:hyperlink>
      <w:r>
        <w:t xml:space="preserve">).</w:t>
      </w:r>
    </w:p>
    <w:p>
      <w:r>
        <w:pict>
          <v:rect style="width:0;height:1.5pt" o:hralign="center" o:hrstd="t" o:hr="t"/>
        </w:pict>
      </w:r>
    </w:p>
    <w:bookmarkEnd w:id="22"/>
    <w:bookmarkStart w:id="24" w:name="summary"/>
    <w:p>
      <w:pPr>
        <w:pStyle w:val="Heading2"/>
      </w:pPr>
      <w:r>
        <w:t xml:space="preserve">1. Summary</w:t>
      </w:r>
    </w:p>
    <w:p>
      <w:pPr>
        <w:pStyle w:val="FirstParagraph"/>
      </w:pPr>
      <w:r>
        <w:t xml:space="preserve">Scientists who study UAP work under the same legal rules as other researchers, but several of those</w:t>
      </w:r>
      <w:r>
        <w:t xml:space="preserve"> </w:t>
      </w:r>
      <w:r>
        <w:t xml:space="preserve">rules bite harder in this field because the best data are military sensor data, the most interesting</w:t>
      </w:r>
      <w:r>
        <w:t xml:space="preserve"> </w:t>
      </w:r>
      <w:r>
        <w:t xml:space="preserve">physics overlaps with defense technology, and some of the people offering information are cleared</w:t>
      </w:r>
      <w:r>
        <w:t xml:space="preserve"> </w:t>
      </w:r>
      <w:r>
        <w:t xml:space="preserve">insiders. Four bodies of law matter most.</w:t>
      </w:r>
    </w:p>
    <w:p>
      <w:pPr>
        <w:pStyle w:val="Compact"/>
        <w:numPr>
          <w:ilvl w:val="0"/>
          <w:numId w:val="1002"/>
        </w:numPr>
      </w:pPr>
      <w:r>
        <w:rPr>
          <w:bCs/>
          <w:b/>
        </w:rPr>
        <w:t xml:space="preserve">Classification.</w:t>
      </w:r>
      <w:r>
        <w:t xml:space="preserve"> </w:t>
      </w:r>
      <w:r>
        <w:t xml:space="preserve">National policy since 1985 (NSDD-189) is that fundamental research should remain</w:t>
      </w:r>
      <w:r>
        <w:t xml:space="preserve"> </w:t>
      </w:r>
      <w:r>
        <w:t xml:space="preserve">unrestricted and that classification is the only proper mechanism for restricting it. Executive</w:t>
      </w:r>
      <w:r>
        <w:t xml:space="preserve"> </w:t>
      </w:r>
      <w:r>
        <w:t xml:space="preserve">Order 13526 bars classifying basic scientific research not clearly related to national security.</w:t>
      </w:r>
      <w:r>
        <w:t xml:space="preserve"> </w:t>
      </w:r>
      <w:r>
        <w:t xml:space="preserve">The government cannot classify a private researcher’s independent work after the fact, but it can</w:t>
      </w:r>
      <w:r>
        <w:t xml:space="preserve"> </w:t>
      </w:r>
      <w:r>
        <w:t xml:space="preserve">control access to government data and can reach privately generated nuclear weapons information</w:t>
      </w:r>
      <w:r>
        <w:t xml:space="preserve"> </w:t>
      </w:r>
      <w:r>
        <w:t xml:space="preserve">under the Atomic Energy Act’s</w:t>
      </w:r>
      <w:r>
        <w:t xml:space="preserve"> </w:t>
      </w:r>
      <w:r>
        <w:t xml:space="preserve">“</w:t>
      </w:r>
      <w:r>
        <w:t xml:space="preserve">born secret</w:t>
      </w:r>
      <w:r>
        <w:t xml:space="preserve">”</w:t>
      </w:r>
      <w:r>
        <w:t xml:space="preserve"> </w:t>
      </w:r>
      <w:r>
        <w:t xml:space="preserve">provisions.</w:t>
      </w:r>
    </w:p>
    <w:p>
      <w:pPr>
        <w:pStyle w:val="Compact"/>
        <w:numPr>
          <w:ilvl w:val="0"/>
          <w:numId w:val="1002"/>
        </w:numPr>
      </w:pPr>
      <w:r>
        <w:rPr>
          <w:bCs/>
          <w:b/>
        </w:rPr>
        <w:t xml:space="preserve">Export controls.</w:t>
      </w:r>
      <w:r>
        <w:t xml:space="preserve"> </w:t>
      </w:r>
      <w:r>
        <w:t xml:space="preserve">ITAR and EAR exclude published fundamental research, but a project loses that</w:t>
      </w:r>
      <w:r>
        <w:t xml:space="preserve"> </w:t>
      </w:r>
      <w:r>
        <w:t xml:space="preserve">protection if it accepts publication restrictions or uses controlled inputs, and sharing controlled</w:t>
      </w:r>
      <w:r>
        <w:t xml:space="preserve"> </w:t>
      </w:r>
      <w:r>
        <w:t xml:space="preserve">technical data with foreign nationals in a U.S. lab is a</w:t>
      </w:r>
      <w:r>
        <w:t xml:space="preserve"> </w:t>
      </w:r>
      <w:r>
        <w:t xml:space="preserve">“</w:t>
      </w:r>
      <w:r>
        <w:t xml:space="preserve">deemed export.</w:t>
      </w:r>
      <w:r>
        <w:t xml:space="preserve">”</w:t>
      </w:r>
      <w:r>
        <w:t xml:space="preserve"> </w:t>
      </w:r>
      <w:r>
        <w:t xml:space="preserve">A university professor was</w:t>
      </w:r>
      <w:r>
        <w:t xml:space="preserve"> </w:t>
      </w:r>
      <w:r>
        <w:t xml:space="preserve">imprisoned for exactly that in</w:t>
      </w:r>
      <w:r>
        <w:t xml:space="preserve"> </w:t>
      </w:r>
      <w:r>
        <w:rPr>
          <w:iCs/>
          <w:i/>
        </w:rPr>
        <w:t xml:space="preserve">United States v. Roth</w:t>
      </w:r>
      <w:r>
        <w:t xml:space="preserve">, 628 F.3d 827 (6th Cir. 2011).</w:t>
      </w:r>
    </w:p>
    <w:p>
      <w:pPr>
        <w:pStyle w:val="Compact"/>
        <w:numPr>
          <w:ilvl w:val="0"/>
          <w:numId w:val="1002"/>
        </w:numPr>
      </w:pPr>
      <w:r>
        <w:rPr>
          <w:bCs/>
          <w:b/>
        </w:rPr>
        <w:t xml:space="preserve">Patents and secrecy orders.</w:t>
      </w:r>
      <w:r>
        <w:t xml:space="preserve"> </w:t>
      </w:r>
      <w:r>
        <w:t xml:space="preserve">Patent applications on propulsion, energy, materials, or sensing may</w:t>
      </w:r>
      <w:r>
        <w:t xml:space="preserve"> </w:t>
      </w:r>
      <w:r>
        <w:t xml:space="preserve">draw secrecy orders under the Invention Secrecy Act (</w:t>
      </w:r>
      <w:hyperlink r:id="rId23">
        <w:r>
          <w:rPr>
            <w:rStyle w:val="Hyperlink"/>
          </w:rPr>
          <w:t xml:space="preserve">Issue E2</w:t>
        </w:r>
      </w:hyperlink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Cs/>
          <w:b/>
        </w:rPr>
        <w:t xml:space="preserve">Academic freedom and retaliation.</w:t>
      </w:r>
      <w:r>
        <w:t xml:space="preserve"> </w:t>
      </w:r>
      <w:r>
        <w:t xml:space="preserve">Public university researchers have First Amendment protection</w:t>
      </w:r>
      <w:r>
        <w:t xml:space="preserve"> </w:t>
      </w:r>
      <w:r>
        <w:t xml:space="preserve">for scholarship and teaching in several circuits even after</w:t>
      </w:r>
      <w:r>
        <w:t xml:space="preserve"> </w:t>
      </w:r>
      <w:r>
        <w:rPr>
          <w:iCs/>
          <w:i/>
        </w:rPr>
        <w:t xml:space="preserve">Garcetti v. Ceballos</w:t>
      </w:r>
      <w:r>
        <w:t xml:space="preserve">, 547 U.S. 410</w:t>
      </w:r>
      <w:r>
        <w:t xml:space="preserve"> </w:t>
      </w:r>
      <w:r>
        <w:t xml:space="preserve">(2006); private university researchers depend on contract and institutional policy.</w:t>
      </w:r>
    </w:p>
    <w:p>
      <w:pPr>
        <w:pStyle w:val="FirstParagraph"/>
      </w:pPr>
      <w:r>
        <w:t xml:space="preserve">Disclosure would raise the stakes. If the government confirms possession of material of non-human</w:t>
      </w:r>
      <w:r>
        <w:t xml:space="preserve"> </w:t>
      </w:r>
      <w:r>
        <w:t xml:space="preserve">origin, the first scientific work on it will almost certainly take place under classification, export</w:t>
      </w:r>
      <w:r>
        <w:t xml:space="preserve"> </w:t>
      </w:r>
      <w:r>
        <w:t xml:space="preserve">controls, and contract terms; access for independent scientists will be a legal fight; and the</w:t>
      </w:r>
      <w:r>
        <w:t xml:space="preserve"> </w:t>
      </w:r>
      <w:r>
        <w:t xml:space="preserve">government may move quickly to control related technology through EAR’s catch-all mechanisms.</w:t>
      </w:r>
    </w:p>
    <w:p>
      <w:r>
        <w:pict>
          <v:rect style="width:0;height:1.5pt" o:hralign="center" o:hrstd="t" o:hr="t"/>
        </w:pict>
      </w:r>
    </w:p>
    <w:bookmarkEnd w:id="24"/>
    <w:bookmarkStart w:id="29" w:name="classification-of-science"/>
    <w:p>
      <w:pPr>
        <w:pStyle w:val="Heading2"/>
      </w:pPr>
      <w:r>
        <w:t xml:space="preserve">2. Classification of science</w:t>
      </w:r>
    </w:p>
    <w:bookmarkStart w:id="25" w:name="policy-limits"/>
    <w:p>
      <w:pPr>
        <w:pStyle w:val="Heading3"/>
      </w:pPr>
      <w:r>
        <w:t xml:space="preserve">2.1 Policy limits</w:t>
      </w:r>
    </w:p>
    <w:p>
      <w:pPr>
        <w:numPr>
          <w:ilvl w:val="0"/>
          <w:numId w:val="1003"/>
        </w:numPr>
      </w:pPr>
      <w:r>
        <w:rPr>
          <w:bCs/>
          <w:b/>
        </w:rPr>
        <w:t xml:space="preserve">NSDD-189</w:t>
      </w:r>
      <w:r>
        <w:t xml:space="preserve"> </w:t>
      </w:r>
      <w:r>
        <w:t xml:space="preserve">(Sept. 21, 1985),</w:t>
      </w:r>
      <w:r>
        <w:t xml:space="preserve"> </w:t>
      </w:r>
      <w:r>
        <w:rPr>
          <w:iCs/>
          <w:i/>
        </w:rPr>
        <w:t xml:space="preserve">National Policy on the Transfer of Scientific, Technical and</w:t>
      </w:r>
      <w:r>
        <w:rPr>
          <w:iCs/>
          <w:i/>
        </w:rPr>
        <w:t xml:space="preserve"> </w:t>
      </w:r>
      <w:r>
        <w:rPr>
          <w:iCs/>
          <w:i/>
        </w:rPr>
        <w:t xml:space="preserve">Engineering Information</w:t>
      </w:r>
      <w:r>
        <w:t xml:space="preserve">, provides that</w:t>
      </w:r>
      <w:r>
        <w:t xml:space="preserve"> </w:t>
      </w:r>
      <w:r>
        <w:t xml:space="preserve">“</w:t>
      </w:r>
      <w:r>
        <w:t xml:space="preserve">to the maximum extent possible, the products of fundamental</w:t>
      </w:r>
      <w:r>
        <w:t xml:space="preserve"> </w:t>
      </w:r>
      <w:r>
        <w:t xml:space="preserve">research remain unrestricted,</w:t>
      </w:r>
      <w:r>
        <w:t xml:space="preserve">”</w:t>
      </w:r>
      <w:r>
        <w:t xml:space="preserve"> </w:t>
      </w:r>
      <w:r>
        <w:t xml:space="preserve">and that</w:t>
      </w:r>
      <w:r>
        <w:t xml:space="preserve"> </w:t>
      </w:r>
      <w:r>
        <w:t xml:space="preserve">“</w:t>
      </w:r>
      <w:r>
        <w:t xml:space="preserve">where the national security requires control, the mechanism</w:t>
      </w:r>
      <w:r>
        <w:t xml:space="preserve"> </w:t>
      </w:r>
      <w:r>
        <w:t xml:space="preserve">for control of information generated during federally funded fundamental research in science,</w:t>
      </w:r>
      <w:r>
        <w:t xml:space="preserve"> </w:t>
      </w:r>
      <w:r>
        <w:t xml:space="preserve">technology and engineering at colleges, universities and laboratories is classification.</w:t>
      </w:r>
      <w:r>
        <w:t xml:space="preserve">”</w:t>
      </w:r>
    </w:p>
    <w:p>
      <w:pPr>
        <w:numPr>
          <w:ilvl w:val="0"/>
          <w:numId w:val="1000"/>
        </w:numPr>
      </w:pPr>
      <w:r>
        <w:t xml:space="preserve">The Department of Defense reaffirmed the policy in 2008 and in a May 24, 2010 memorandum from the</w:t>
      </w:r>
      <w:r>
        <w:t xml:space="preserve"> </w:t>
      </w:r>
      <w:r>
        <w:t xml:space="preserve">Under Secretary for Acquisition, Technology and Logistics, which states that DoD will not restrict</w:t>
      </w:r>
      <w:r>
        <w:t xml:space="preserve"> </w:t>
      </w:r>
      <w:r>
        <w:t xml:space="preserve">unclassified fundamental research beyond legal requirements.</w:t>
      </w:r>
    </w:p>
    <w:p>
      <w:pPr>
        <w:numPr>
          <w:ilvl w:val="0"/>
          <w:numId w:val="1003"/>
        </w:numPr>
      </w:pPr>
      <w:r>
        <w:rPr>
          <w:bCs/>
          <w:b/>
        </w:rPr>
        <w:t xml:space="preserve">EO 13526 §1.4(e)</w:t>
      </w:r>
      <w:r>
        <w:t xml:space="preserve"> </w:t>
      </w:r>
      <w:r>
        <w:t xml:space="preserve">permits classification of</w:t>
      </w:r>
      <w:r>
        <w:t xml:space="preserve"> </w:t>
      </w:r>
      <w:r>
        <w:t xml:space="preserve">“</w:t>
      </w:r>
      <w:r>
        <w:t xml:space="preserve">scientific, technological, or economic matters</w:t>
      </w:r>
      <w:r>
        <w:t xml:space="preserve"> </w:t>
      </w:r>
      <w:r>
        <w:t xml:space="preserve">relating to the national security.</w:t>
      </w:r>
      <w:r>
        <w:t xml:space="preserve">”</w:t>
      </w:r>
      <w:r>
        <w:t xml:space="preserve"> </w:t>
      </w:r>
      <w:r>
        <w:rPr>
          <w:bCs/>
          <w:b/>
        </w:rPr>
        <w:t xml:space="preserve">§1.7(b)</w:t>
      </w:r>
      <w:r>
        <w:t xml:space="preserve"> </w:t>
      </w:r>
      <w:r>
        <w:t xml:space="preserve">provides:</w:t>
      </w:r>
      <w:r>
        <w:t xml:space="preserve"> </w:t>
      </w:r>
      <w:r>
        <w:t xml:space="preserve">“</w:t>
      </w:r>
      <w:r>
        <w:t xml:space="preserve">Basic scientific research information not</w:t>
      </w:r>
      <w:r>
        <w:t xml:space="preserve"> </w:t>
      </w:r>
      <w:r>
        <w:t xml:space="preserve">clearly related to the national security shall not be classified.</w:t>
      </w:r>
      <w:r>
        <w:t xml:space="preserve">”</w:t>
      </w:r>
      <w:r>
        <w:t xml:space="preserve"> </w:t>
      </w:r>
      <w:r>
        <w:rPr>
          <w:bCs/>
          <w:b/>
        </w:rPr>
        <w:t xml:space="preserve">§1.7(a)</w:t>
      </w:r>
      <w:r>
        <w:t xml:space="preserve"> </w:t>
      </w:r>
      <w:r>
        <w:t xml:space="preserve">bars classification to</w:t>
      </w:r>
      <w:r>
        <w:t xml:space="preserve"> </w:t>
      </w:r>
      <w:r>
        <w:t xml:space="preserve">conceal violations of law or prevent embarrassment. Section 1.7(c) also limits reclassification of information</w:t>
      </w:r>
      <w:r>
        <w:t xml:space="preserve"> </w:t>
      </w:r>
      <w:r>
        <w:t xml:space="preserve">already released to the public.</w:t>
      </w:r>
    </w:p>
    <w:p>
      <w:pPr>
        <w:numPr>
          <w:ilvl w:val="0"/>
          <w:numId w:val="1003"/>
        </w:numPr>
      </w:pPr>
      <w:r>
        <w:rPr>
          <w:bCs/>
          <w:b/>
        </w:rPr>
        <w:t xml:space="preserve">No reclassification of private work.</w:t>
      </w:r>
      <w:r>
        <w:t xml:space="preserve"> </w:t>
      </w:r>
      <w:r>
        <w:t xml:space="preserve">EO 13526 applies to information</w:t>
      </w:r>
      <w:r>
        <w:t xml:space="preserve"> </w:t>
      </w:r>
      <w:r>
        <w:t xml:space="preserve">“</w:t>
      </w:r>
      <w:r>
        <w:t xml:space="preserve">owned by, produced by or for,</w:t>
      </w:r>
      <w:r>
        <w:t xml:space="preserve"> </w:t>
      </w:r>
      <w:r>
        <w:t xml:space="preserve">or … under the control of the United States Government</w:t>
      </w:r>
      <w:r>
        <w:t xml:space="preserve">”</w:t>
      </w:r>
      <w:r>
        <w:t xml:space="preserve"> </w:t>
      </w:r>
      <w:r>
        <w:t xml:space="preserve">(§1.1(a)(2)). Information a private</w:t>
      </w:r>
      <w:r>
        <w:t xml:space="preserve"> </w:t>
      </w:r>
      <w:r>
        <w:t xml:space="preserve">researcher develops independently is not classifiable under the order. The government’s tools for</w:t>
      </w:r>
      <w:r>
        <w:t xml:space="preserve"> </w:t>
      </w:r>
      <w:r>
        <w:t xml:space="preserve">private work are statutory: the Atomic Energy Act, the Invention Secrecy Act, export controls, and</w:t>
      </w:r>
      <w:r>
        <w:t xml:space="preserve"> </w:t>
      </w:r>
      <w:r>
        <w:t xml:space="preserve">(for acquired information) the Espionage Act.</w:t>
      </w:r>
    </w:p>
    <w:bookmarkEnd w:id="25"/>
    <w:bookmarkStart w:id="26" w:name="born-secret-information"/>
    <w:p>
      <w:pPr>
        <w:pStyle w:val="Heading3"/>
      </w:pPr>
      <w:r>
        <w:t xml:space="preserve">2.2</w:t>
      </w:r>
      <w:r>
        <w:t xml:space="preserve"> </w:t>
      </w:r>
      <w:r>
        <w:t xml:space="preserve">“</w:t>
      </w:r>
      <w:r>
        <w:t xml:space="preserve">Born secret</w:t>
      </w:r>
      <w:r>
        <w:t xml:space="preserve">”</w:t>
      </w:r>
      <w:r>
        <w:t xml:space="preserve"> </w:t>
      </w:r>
      <w:r>
        <w:t xml:space="preserve">information</w:t>
      </w:r>
    </w:p>
    <w:p>
      <w:pPr>
        <w:pStyle w:val="FirstParagraph"/>
      </w:pPr>
      <w:r>
        <w:t xml:space="preserve">The Atomic Energy Act defines</w:t>
      </w:r>
      <w:r>
        <w:t xml:space="preserve"> </w:t>
      </w:r>
      <w:r>
        <w:t xml:space="preserve">“</w:t>
      </w:r>
      <w:r>
        <w:t xml:space="preserve">Restricted Data</w:t>
      </w:r>
      <w:r>
        <w:t xml:space="preserve">”</w:t>
      </w:r>
      <w:r>
        <w:t xml:space="preserve"> </w:t>
      </w:r>
      <w:r>
        <w:t xml:space="preserve">to include</w:t>
      </w:r>
      <w:r>
        <w:t xml:space="preserve"> </w:t>
      </w:r>
      <w:r>
        <w:t xml:space="preserve">“</w:t>
      </w:r>
      <w:r>
        <w:t xml:space="preserve">all data concerning (1) design, manufacture,</w:t>
      </w:r>
      <w:r>
        <w:t xml:space="preserve"> </w:t>
      </w:r>
      <w:r>
        <w:t xml:space="preserve">or utilization of atomic weapons; (2) the production of special nuclear material; or (3) the use of</w:t>
      </w:r>
      <w:r>
        <w:t xml:space="preserve"> </w:t>
      </w:r>
      <w:r>
        <w:t xml:space="preserve">special nuclear material in the production of energy,</w:t>
      </w:r>
      <w:r>
        <w:t xml:space="preserve">”</w:t>
      </w:r>
      <w:r>
        <w:t xml:space="preserve"> </w:t>
      </w:r>
      <w:r>
        <w:t xml:space="preserve">unless declassified. 42 U.S.C. §2014(y). The</w:t>
      </w:r>
      <w:r>
        <w:t xml:space="preserve"> </w:t>
      </w:r>
      <w:r>
        <w:t xml:space="preserve">definition does not depend on who created the information. Communicating Restricted Data with intent or</w:t>
      </w:r>
      <w:r>
        <w:t xml:space="preserve"> </w:t>
      </w:r>
      <w:r>
        <w:t xml:space="preserve">reason to believe it will injure the United States is a crime. 42 U.S.C. §§2274-2277.</w:t>
      </w:r>
    </w:p>
    <w:p>
      <w:pPr>
        <w:pStyle w:val="BodyText"/>
      </w:pPr>
      <w:r>
        <w:rPr>
          <w:iCs/>
          <w:i/>
        </w:rPr>
        <w:t xml:space="preserve">United States v. The Progressive, Inc.</w:t>
      </w:r>
      <w:r>
        <w:t xml:space="preserve">, 467 F. Supp. 990 (W.D. Wis. 1979), is the only case in which a</w:t>
      </w:r>
      <w:r>
        <w:t xml:space="preserve"> </w:t>
      </w:r>
      <w:r>
        <w:t xml:space="preserve">court enjoined publication of scientific information assembled from public sources. Judge Warren</w:t>
      </w:r>
      <w:r>
        <w:t xml:space="preserve"> </w:t>
      </w:r>
      <w:r>
        <w:t xml:space="preserve">granted a preliminary injunction against publication of</w:t>
      </w:r>
      <w:r>
        <w:t xml:space="preserve"> </w:t>
      </w:r>
      <w:r>
        <w:t xml:space="preserve">“</w:t>
      </w:r>
      <w:r>
        <w:t xml:space="preserve">The H-Bomb Secret</w:t>
      </w:r>
      <w:r>
        <w:t xml:space="preserve">”</w:t>
      </w:r>
      <w:r>
        <w:t xml:space="preserve"> </w:t>
      </w:r>
      <w:r>
        <w:t xml:space="preserve">on the ground that it likely</w:t>
      </w:r>
      <w:r>
        <w:t xml:space="preserve"> </w:t>
      </w:r>
      <w:r>
        <w:t xml:space="preserve">contained Restricted Data, reasoning that</w:t>
      </w:r>
      <w:r>
        <w:t xml:space="preserve"> </w:t>
      </w:r>
      <w:r>
        <w:t xml:space="preserve">“</w:t>
      </w:r>
      <w:r>
        <w:t xml:space="preserve">[a] mistake in ruling against the United States could pave the</w:t>
      </w:r>
      <w:r>
        <w:t xml:space="preserve"> </w:t>
      </w:r>
      <w:r>
        <w:t xml:space="preserve">way for thermonuclear annihilation for us all.</w:t>
      </w:r>
      <w:r>
        <w:t xml:space="preserve">”</w:t>
      </w:r>
      <w:r>
        <w:t xml:space="preserve"> </w:t>
      </w:r>
      <w:r>
        <w:t xml:space="preserve">The government abandoned the case after similar material</w:t>
      </w:r>
      <w:r>
        <w:t xml:space="preserve"> </w:t>
      </w:r>
      <w:r>
        <w:t xml:space="preserve">was published elsewhere, and the appeal was dismissed.</w:t>
      </w:r>
      <w:r>
        <w:t xml:space="preserve"> </w:t>
      </w:r>
      <w:r>
        <w:rPr>
          <w:iCs/>
          <w:i/>
        </w:rPr>
        <w:t xml:space="preserve">United States v. Progressive, Inc.</w:t>
      </w:r>
      <w:r>
        <w:t xml:space="preserve">, 610 F.2d 819 (7th Cir. Oct. 1, 1979)</w:t>
      </w:r>
      <w:r>
        <w:t xml:space="preserve"> </w:t>
      </w:r>
      <w:r>
        <w:t xml:space="preserve">(table).</w:t>
      </w:r>
    </w:p>
    <w:p>
      <w:pPr>
        <w:pStyle w:val="BodyText"/>
      </w:pPr>
      <w:r>
        <w:rPr>
          <w:bCs/>
          <w:b/>
        </w:rPr>
        <w:t xml:space="preserve">Relevance.</w:t>
      </w:r>
      <w:r>
        <w:t xml:space="preserve"> </w:t>
      </w:r>
      <w:r>
        <w:t xml:space="preserve">If UAP-related research touches the use of special nuclear material for energy, or</w:t>
      </w:r>
      <w:r>
        <w:t xml:space="preserve"> </w:t>
      </w:r>
      <w:r>
        <w:t xml:space="preserve">weapons physics, the Restricted Data provisions could apply to privately developed work. Researchers in</w:t>
      </w:r>
      <w:r>
        <w:t xml:space="preserve"> </w:t>
      </w:r>
      <w:r>
        <w:t xml:space="preserve">energy-related UAP science should obtain an early determination from DOE if their work approaches those</w:t>
      </w:r>
      <w:r>
        <w:t xml:space="preserve"> </w:t>
      </w:r>
      <w:r>
        <w:t xml:space="preserve">categories.</w:t>
      </w:r>
    </w:p>
    <w:bookmarkEnd w:id="26"/>
    <w:bookmarkStart w:id="28" w:name="access-to-government-data"/>
    <w:p>
      <w:pPr>
        <w:pStyle w:val="Heading3"/>
      </w:pPr>
      <w:r>
        <w:t xml:space="preserve">2.3 Access to government data</w:t>
      </w:r>
    </w:p>
    <w:p>
      <w:pPr>
        <w:pStyle w:val="FirstParagraph"/>
      </w:pPr>
      <w:r>
        <w:t xml:space="preserve">Most high-quality UAP data come from military and intelligence sensors and are classified, often to</w:t>
      </w:r>
      <w:r>
        <w:t xml:space="preserve"> </w:t>
      </w:r>
      <w:r>
        <w:t xml:space="preserve">protect sensor capabilities rather than anything about the objects observed. The NASA UAP Independent</w:t>
      </w:r>
      <w:r>
        <w:t xml:space="preserve"> </w:t>
      </w:r>
      <w:r>
        <w:t xml:space="preserve">Study Team made this point in its September 2023 report, which recommended data standards, calibration,</w:t>
      </w:r>
      <w:r>
        <w:t xml:space="preserve"> </w:t>
      </w:r>
      <w:r>
        <w:t xml:space="preserve">use of NASA assets, crowdsourced reporting, and adapting the Aviation Safety Reporting System to UAP</w:t>
      </w:r>
      <w:r>
        <w:t xml:space="preserve"> </w:t>
      </w:r>
      <w:r>
        <w:t xml:space="preserve">reports. Routes to government data are FOIA, mandatory declassification review, the UAP Records</w:t>
      </w:r>
      <w:r>
        <w:t xml:space="preserve"> </w:t>
      </w:r>
      <w:r>
        <w:t xml:space="preserve">Collection (which defines</w:t>
      </w:r>
      <w:r>
        <w:t xml:space="preserve"> </w:t>
      </w:r>
      <w:r>
        <w:t xml:space="preserve">“</w:t>
      </w:r>
      <w:r>
        <w:t xml:space="preserve">record</w:t>
      </w:r>
      <w:r>
        <w:t xml:space="preserve">”</w:t>
      </w:r>
      <w:r>
        <w:t xml:space="preserve"> </w:t>
      </w:r>
      <w:r>
        <w:t xml:space="preserve">in the pending House bill to include</w:t>
      </w:r>
      <w:r>
        <w:t xml:space="preserve"> </w:t>
      </w:r>
      <w:r>
        <w:t xml:space="preserve">“</w:t>
      </w:r>
      <w:r>
        <w:t xml:space="preserve">intelligence, surveillance,</w:t>
      </w:r>
      <w:r>
        <w:t xml:space="preserve"> </w:t>
      </w:r>
      <w:r>
        <w:t xml:space="preserve">reconnaissance, and target acquisition sensor data,</w:t>
      </w:r>
      <w:r>
        <w:t xml:space="preserve">”</w:t>
      </w:r>
      <w:r>
        <w:t xml:space="preserve"> </w:t>
      </w:r>
      <w:r>
        <w:t xml:space="preserve">H.R. 8800 §1773(17)), and collaborative agreements</w:t>
      </w:r>
      <w:r>
        <w:t xml:space="preserve"> </w:t>
      </w:r>
      <w:r>
        <w:t xml:space="preserve">with AARO or NASA under which researchers accept access conditions.</w:t>
      </w:r>
      <w:r>
        <w:t xml:space="preserve"> </w:t>
      </w:r>
      <w:r>
        <w:rPr>
          <w:iCs/>
          <w:i/>
        </w:rPr>
        <w:t xml:space="preserve">Slaughter v. Department of the Air</w:t>
      </w:r>
      <w:r>
        <w:rPr>
          <w:iCs/>
          <w:i/>
        </w:rPr>
        <w:t xml:space="preserve"> </w:t>
      </w:r>
      <w:r>
        <w:rPr>
          <w:iCs/>
          <w:i/>
        </w:rPr>
        <w:t xml:space="preserve">Force</w:t>
      </w:r>
      <w:r>
        <w:t xml:space="preserve">, 2026 WL 571249 (D.D.C. Mar. 2, 2026), shows both the possibility (a SOCOM video declassified and</w:t>
      </w:r>
      <w:r>
        <w:t xml:space="preserve"> </w:t>
      </w:r>
      <w:r>
        <w:t xml:space="preserve">released after litigation) and the limit (an F-22 video withheld under Exemption 1 because it revealed</w:t>
      </w:r>
      <w:r>
        <w:t xml:space="preserve"> </w:t>
      </w:r>
      <w:r>
        <w:t xml:space="preserve">missile envelope cues) (</w:t>
      </w:r>
      <w:hyperlink r:id="rId27">
        <w:r>
          <w:rPr>
            <w:rStyle w:val="Hyperlink"/>
          </w:rPr>
          <w:t xml:space="preserve">Issue B1</w:t>
        </w:r>
      </w:hyperlink>
      <w:r>
        <w:t xml:space="preserve">).</w:t>
      </w:r>
    </w:p>
    <w:p>
      <w:r>
        <w:pict>
          <v:rect style="width:0;height:1.5pt" o:hralign="center" o:hrstd="t" o:hr="t"/>
        </w:pict>
      </w:r>
    </w:p>
    <w:bookmarkEnd w:id="28"/>
    <w:bookmarkEnd w:id="29"/>
    <w:bookmarkStart w:id="37" w:name="export-controls"/>
    <w:p>
      <w:pPr>
        <w:pStyle w:val="Heading2"/>
      </w:pPr>
      <w:r>
        <w:t xml:space="preserve">3. Export controls</w:t>
      </w:r>
    </w:p>
    <w:bookmarkStart w:id="30" w:name="the-framework"/>
    <w:p>
      <w:pPr>
        <w:pStyle w:val="Heading3"/>
      </w:pPr>
      <w:r>
        <w:t xml:space="preserve">3.1 The framework</w:t>
      </w:r>
    </w:p>
    <w:p>
      <w:pPr>
        <w:pStyle w:val="Compact"/>
        <w:numPr>
          <w:ilvl w:val="0"/>
          <w:numId w:val="1004"/>
        </w:numPr>
      </w:pPr>
      <w:r>
        <w:rPr>
          <w:bCs/>
          <w:b/>
        </w:rPr>
        <w:t xml:space="preserve">ITAR</w:t>
      </w:r>
      <w:r>
        <w:t xml:space="preserve">, 22 C.F.R. parts 120-130 (State Department; defense articles and technical data on the U.S.</w:t>
      </w:r>
      <w:r>
        <w:t xml:space="preserve"> </w:t>
      </w:r>
      <w:r>
        <w:t xml:space="preserve">Munitions List). Categories most likely to touch UAP research: IV (launch vehicles), XII (fire control,</w:t>
      </w:r>
      <w:r>
        <w:t xml:space="preserve"> </w:t>
      </w:r>
      <w:r>
        <w:t xml:space="preserve">sensors), XV (spacecraft), and XXI (articles not otherwise enumerated).</w:t>
      </w:r>
    </w:p>
    <w:p>
      <w:pPr>
        <w:pStyle w:val="Compact"/>
        <w:numPr>
          <w:ilvl w:val="0"/>
          <w:numId w:val="1004"/>
        </w:numPr>
      </w:pPr>
      <w:r>
        <w:rPr>
          <w:bCs/>
          <w:b/>
        </w:rPr>
        <w:t xml:space="preserve">EAR</w:t>
      </w:r>
      <w:r>
        <w:t xml:space="preserve">, 15 C.F.R. parts 730-774 (Commerce Department; dual-use items and technology). Of particular</w:t>
      </w:r>
      <w:r>
        <w:t xml:space="preserve"> </w:t>
      </w:r>
      <w:r>
        <w:t xml:space="preserve">importance is ECCN 0Y521, under which Commerce, with Defense and State concurrence, may control items not</w:t>
      </w:r>
      <w:r>
        <w:t xml:space="preserve"> </w:t>
      </w:r>
      <w:r>
        <w:t xml:space="preserve">listed elsewhere on the Commerce Control List that provide</w:t>
      </w:r>
      <w:r>
        <w:t xml:space="preserve"> </w:t>
      </w:r>
      <w:r>
        <w:t xml:space="preserve">“</w:t>
      </w:r>
      <w:r>
        <w:t xml:space="preserve">at least a significant military or intelligence</w:t>
      </w:r>
      <w:r>
        <w:t xml:space="preserve"> </w:t>
      </w:r>
      <w:r>
        <w:t xml:space="preserve">advantage.</w:t>
      </w:r>
      <w:r>
        <w:t xml:space="preserve">”</w:t>
      </w:r>
      <w:r>
        <w:t xml:space="preserve"> </w:t>
      </w:r>
      <w:r>
        <w:t xml:space="preserve">Such items must be reclassified under another ECCN within one calendar year or the 0Y521</w:t>
      </w:r>
      <w:r>
        <w:t xml:space="preserve"> </w:t>
      </w:r>
      <w:r>
        <w:t xml:space="preserve">classification expires, but BIS may extend it for two one-year periods if the government has proposed</w:t>
      </w:r>
      <w:r>
        <w:t xml:space="preserve"> </w:t>
      </w:r>
      <w:r>
        <w:t xml:space="preserve">multilateral controls. 15 C.F.R. §742.6(a)(8). This is the fastest regulatory tool</w:t>
      </w:r>
      <w:r>
        <w:t xml:space="preserve"> </w:t>
      </w:r>
      <w:r>
        <w:t xml:space="preserve">for controlling technology derived from recovered material after a disclosure.</w:t>
      </w:r>
    </w:p>
    <w:p>
      <w:pPr>
        <w:pStyle w:val="Compact"/>
        <w:numPr>
          <w:ilvl w:val="0"/>
          <w:numId w:val="1004"/>
        </w:numPr>
      </w:pPr>
      <w:r>
        <w:rPr>
          <w:bCs/>
          <w:b/>
        </w:rPr>
        <w:t xml:space="preserve">Fundamental research exclusion.</w:t>
      </w:r>
      <w:r>
        <w:t xml:space="preserve"> </w:t>
      </w:r>
      <w:r>
        <w:t xml:space="preserve">Information arising during or resulting from fundamental research</w:t>
      </w:r>
      <w:r>
        <w:t xml:space="preserve"> </w:t>
      </w:r>
      <w:r>
        <w:t xml:space="preserve">intended to be published is not subject to the EAR (15 C.F.R. §734.8) and is not ITAR technical data</w:t>
      </w:r>
      <w:r>
        <w:t xml:space="preserve"> </w:t>
      </w:r>
      <w:r>
        <w:t xml:space="preserve">(22 C.F.R. §120.34(a)(8), which treats as public domain information made available through</w:t>
      </w:r>
      <w:r>
        <w:t xml:space="preserve"> </w:t>
      </w:r>
      <w:r>
        <w:t xml:space="preserve">“</w:t>
      </w:r>
      <w:r>
        <w:t xml:space="preserve">fundamental</w:t>
      </w:r>
      <w:r>
        <w:t xml:space="preserve"> </w:t>
      </w:r>
      <w:r>
        <w:t xml:space="preserve">research in science and engineering at accredited institutions of higher learning in the U.S.</w:t>
      </w:r>
      <w:r>
        <w:t xml:space="preserve">”</w:t>
      </w:r>
      <w:r>
        <w:t xml:space="preserve">). The exclusion covers results; inputs are outside it, so a</w:t>
      </w:r>
      <w:r>
        <w:t xml:space="preserve"> </w:t>
      </w:r>
      <w:r>
        <w:t xml:space="preserve">sponsor’s controlled data remain controlled.</w:t>
      </w:r>
    </w:p>
    <w:p>
      <w:pPr>
        <w:pStyle w:val="Compact"/>
        <w:numPr>
          <w:ilvl w:val="0"/>
          <w:numId w:val="1004"/>
        </w:numPr>
      </w:pPr>
      <w:r>
        <w:rPr>
          <w:bCs/>
          <w:b/>
        </w:rPr>
        <w:t xml:space="preserve">Loss of the exclusion.</w:t>
      </w:r>
      <w:r>
        <w:t xml:space="preserve"> </w:t>
      </w:r>
      <w:r>
        <w:t xml:space="preserve">Under the ITAR, university research is not fundamental research if the</w:t>
      </w:r>
      <w:r>
        <w:t xml:space="preserve"> </w:t>
      </w:r>
      <w:r>
        <w:t xml:space="preserve">university or researchers accept restrictions on publication, or if federally funded research carries</w:t>
      </w:r>
      <w:r>
        <w:t xml:space="preserve"> </w:t>
      </w:r>
      <w:r>
        <w:t xml:space="preserve">specific access and dissemination controls. The EAR permits customary prepublication review by a</w:t>
      </w:r>
      <w:r>
        <w:t xml:space="preserve"> </w:t>
      </w:r>
      <w:r>
        <w:t xml:space="preserve">sponsor to protect proprietary or patent interests without loss of the exclusion; the ITAR has no</w:t>
      </w:r>
      <w:r>
        <w:t xml:space="preserve"> </w:t>
      </w:r>
      <w:r>
        <w:t xml:space="preserve">equivalent allowance.</w:t>
      </w:r>
    </w:p>
    <w:p>
      <w:pPr>
        <w:pStyle w:val="Compact"/>
        <w:numPr>
          <w:ilvl w:val="0"/>
          <w:numId w:val="1004"/>
        </w:numPr>
      </w:pPr>
      <w:r>
        <w:rPr>
          <w:bCs/>
          <w:b/>
        </w:rPr>
        <w:t xml:space="preserve">Deemed exports.</w:t>
      </w:r>
      <w:r>
        <w:t xml:space="preserve"> </w:t>
      </w:r>
      <w:r>
        <w:t xml:space="preserve">Releasing controlled technology or technical data to a foreign person in the</w:t>
      </w:r>
      <w:r>
        <w:t xml:space="preserve"> </w:t>
      </w:r>
      <w:r>
        <w:t xml:space="preserve">United States is an export to that person’s country. 15 C.F.R. §734.13(a)(2), (b) (release of</w:t>
      </w:r>
      <w:r>
        <w:t xml:space="preserve"> </w:t>
      </w:r>
      <w:r>
        <w:t xml:space="preserve">“</w:t>
      </w:r>
      <w:r>
        <w:t xml:space="preserve">technology</w:t>
      </w:r>
      <w:r>
        <w:t xml:space="preserve">”</w:t>
      </w:r>
      <w:r>
        <w:t xml:space="preserve"> </w:t>
      </w:r>
      <w:r>
        <w:t xml:space="preserve">or source code to a foreign person in the United</w:t>
      </w:r>
      <w:r>
        <w:t xml:space="preserve"> </w:t>
      </w:r>
      <w:r>
        <w:t xml:space="preserve">States is a</w:t>
      </w:r>
      <w:r>
        <w:t xml:space="preserve"> </w:t>
      </w:r>
      <w:r>
        <w:t xml:space="preserve">“</w:t>
      </w:r>
      <w:r>
        <w:t xml:space="preserve">deemed export</w:t>
      </w:r>
      <w:r>
        <w:t xml:space="preserve">”</w:t>
      </w:r>
      <w:r>
        <w:t xml:space="preserve"> </w:t>
      </w:r>
      <w:r>
        <w:t xml:space="preserve">to the person’s most recent country of citizenship or permanent residency); 22</w:t>
      </w:r>
      <w:r>
        <w:t xml:space="preserve"> </w:t>
      </w:r>
      <w:r>
        <w:t xml:space="preserve">C.F.R. §120.56 (ITAR</w:t>
      </w:r>
      <w:r>
        <w:t xml:space="preserve"> </w:t>
      </w:r>
      <w:r>
        <w:t xml:space="preserve">“</w:t>
      </w:r>
      <w:r>
        <w:t xml:space="preserve">release</w:t>
      </w:r>
      <w:r>
        <w:t xml:space="preserve">”</w:t>
      </w:r>
      <w:r>
        <w:t xml:space="preserve"> </w:t>
      </w:r>
      <w:r>
        <w:t xml:space="preserve">of technical data, including visual inspection by foreign persons).</w:t>
      </w:r>
    </w:p>
    <w:bookmarkEnd w:id="30"/>
    <w:bookmarkStart w:id="31" w:name="united-states-v.-roth"/>
    <w:p>
      <w:pPr>
        <w:pStyle w:val="Heading3"/>
      </w:pPr>
      <w:r>
        <w:t xml:space="preserve">3.2</w:t>
      </w:r>
      <w:r>
        <w:t xml:space="preserve"> </w:t>
      </w:r>
      <w:r>
        <w:rPr>
          <w:iCs/>
          <w:i/>
        </w:rPr>
        <w:t xml:space="preserve">United States v. Roth</w:t>
      </w:r>
    </w:p>
    <w:p>
      <w:pPr>
        <w:pStyle w:val="FirstParagraph"/>
      </w:pPr>
      <w:r>
        <w:t xml:space="preserve">J. Reece Roth, a University of Tennessee plasma physics professor, worked on an Air Force contract to</w:t>
      </w:r>
      <w:r>
        <w:t xml:space="preserve"> </w:t>
      </w:r>
      <w:r>
        <w:t xml:space="preserve">develop plasma actuators for drones. He allowed foreign graduate students to work on the project and</w:t>
      </w:r>
      <w:r>
        <w:t xml:space="preserve"> </w:t>
      </w:r>
      <w:r>
        <w:t xml:space="preserve">carried project data on a trip to China. The Sixth Circuit affirmed his conviction under the Arms Export</w:t>
      </w:r>
      <w:r>
        <w:t xml:space="preserve"> </w:t>
      </w:r>
      <w:r>
        <w:t xml:space="preserve">Control Act, holding that the technical data, an agency proposal, and a testing device were</w:t>
      </w:r>
      <w:r>
        <w:t xml:space="preserve"> </w:t>
      </w:r>
      <w:r>
        <w:t xml:space="preserve">“</w:t>
      </w:r>
      <w:r>
        <w:t xml:space="preserve">defense</w:t>
      </w:r>
      <w:r>
        <w:t xml:space="preserve"> </w:t>
      </w:r>
      <w:r>
        <w:t xml:space="preserve">articles,</w:t>
      </w:r>
      <w:r>
        <w:t xml:space="preserve">”</w:t>
      </w:r>
      <w:r>
        <w:t xml:space="preserve"> </w:t>
      </w:r>
      <w:r>
        <w:t xml:space="preserve">and that the evidence supported conviction for exporting the agency proposal.</w:t>
      </w:r>
      <w:r>
        <w:t xml:space="preserve"> </w:t>
      </w:r>
      <w:r>
        <w:rPr>
          <w:iCs/>
          <w:i/>
        </w:rPr>
        <w:t xml:space="preserve">United States</w:t>
      </w:r>
      <w:r>
        <w:rPr>
          <w:iCs/>
          <w:i/>
        </w:rPr>
        <w:t xml:space="preserve"> </w:t>
      </w:r>
      <w:r>
        <w:rPr>
          <w:iCs/>
          <w:i/>
        </w:rPr>
        <w:t xml:space="preserve">v. Roth</w:t>
      </w:r>
      <w:r>
        <w:t xml:space="preserve">, 628 F.3d 827 (6th Cir. 2011). He was sentenced on July 1, 2009 to 48 months in prison (DOJ press release) and began serving his</w:t>
      </w:r>
      <w:r>
        <w:t xml:space="preserve"> </w:t>
      </w:r>
      <w:r>
        <w:t xml:space="preserve">sentence in January 2012 after his appeals failed.</w:t>
      </w:r>
    </w:p>
    <w:p>
      <w:pPr>
        <w:pStyle w:val="BodyText"/>
      </w:pPr>
      <w:r>
        <w:t xml:space="preserve">The facts track a foreseeable UAP research scenario: a university laboratory receives defense-funded or</w:t>
      </w:r>
      <w:r>
        <w:t xml:space="preserve"> </w:t>
      </w:r>
      <w:r>
        <w:t xml:space="preserve">contractor-supplied data on anomalous propulsion or materials, and foreign nationals work in the lab.</w:t>
      </w:r>
      <w:r>
        <w:t xml:space="preserve"> </w:t>
      </w:r>
      <w:r>
        <w:t xml:space="preserve">Without a technology control plan, the principal investigator faces criminal exposure.</w:t>
      </w:r>
    </w:p>
    <w:bookmarkEnd w:id="31"/>
    <w:bookmarkStart w:id="33" w:name="export-controls-as-speech-regulation"/>
    <w:p>
      <w:pPr>
        <w:pStyle w:val="Heading3"/>
      </w:pPr>
      <w:r>
        <w:t xml:space="preserve">3.3 Export controls as speech regulation</w:t>
      </w:r>
    </w:p>
    <w:p>
      <w:pPr>
        <w:pStyle w:val="FirstParagraph"/>
      </w:pPr>
      <w:r>
        <w:t xml:space="preserve">Courts have recognized that some technical information is protected speech and that licensing</w:t>
      </w:r>
      <w:r>
        <w:t xml:space="preserve"> </w:t>
      </w:r>
      <w:r>
        <w:t xml:space="preserve">requirements for publication can be prior restraints.</w:t>
      </w:r>
      <w:r>
        <w:t xml:space="preserve"> </w:t>
      </w:r>
      <w:r>
        <w:rPr>
          <w:iCs/>
          <w:i/>
        </w:rPr>
        <w:t xml:space="preserve">Bernstein v. U.S. Department of Justice</w:t>
      </w:r>
      <w:r>
        <w:t xml:space="preserve">, 176 F.3d</w:t>
      </w:r>
      <w:r>
        <w:t xml:space="preserve"> </w:t>
      </w:r>
      <w:r>
        <w:t xml:space="preserve">1132 (9th Cir. 1999) (encryption source code), withdrawn on grant of reh’g en banc, 192 F.3d 1308 (9th</w:t>
      </w:r>
      <w:r>
        <w:t xml:space="preserve"> </w:t>
      </w:r>
      <w:r>
        <w:t xml:space="preserve">Cir. 1999);</w:t>
      </w:r>
      <w:r>
        <w:t xml:space="preserve"> </w:t>
      </w:r>
      <w:r>
        <w:rPr>
          <w:iCs/>
          <w:i/>
        </w:rPr>
        <w:t xml:space="preserve">Junger v. Daley</w:t>
      </w:r>
      <w:r>
        <w:t xml:space="preserve">, 209 F.3d 481 (6th Cir. 2000) (source code is expressive). The Defense</w:t>
      </w:r>
      <w:r>
        <w:t xml:space="preserve"> </w:t>
      </w:r>
      <w:r>
        <w:t xml:space="preserve">Distributed litigation over 3D-printed firearm files tested the limits for design files. These cases bear</w:t>
      </w:r>
      <w:r>
        <w:t xml:space="preserve"> </w:t>
      </w:r>
      <w:r>
        <w:t xml:space="preserve">on any government attempt to restrict publication of NHI-derived technical information (</w:t>
      </w:r>
      <w:hyperlink r:id="rId32">
        <w:r>
          <w:rPr>
            <w:rStyle w:val="Hyperlink"/>
          </w:rPr>
          <w:t xml:space="preserve">Issue F3</w:t>
        </w:r>
      </w:hyperlink>
      <w:r>
        <w:t xml:space="preserve">).</w:t>
      </w:r>
    </w:p>
    <w:p>
      <w:r>
        <w:pict>
          <v:rect style="width:0;height:1.5pt" o:hralign="center" o:hrstd="t" o:hr="t"/>
        </w:pict>
      </w:r>
    </w:p>
    <w:bookmarkEnd w:id="33"/>
    <w:bookmarkStart w:id="35" w:name="controlled-unclassified-information"/>
    <w:p>
      <w:pPr>
        <w:pStyle w:val="Heading3"/>
      </w:pPr>
      <w:r>
        <w:t xml:space="preserve">3.4 Controlled unclassified information</w:t>
      </w:r>
    </w:p>
    <w:p>
      <w:pPr>
        <w:pStyle w:val="FirstParagraph"/>
      </w:pPr>
      <w:r>
        <w:t xml:space="preserve">Classification is not the only control. Much of the sensor data and technical information a university would</w:t>
      </w:r>
      <w:r>
        <w:t xml:space="preserve"> </w:t>
      </w:r>
      <w:r>
        <w:t xml:space="preserve">receive from DoD or a contractor is Controlled Unclassified Information, governed by the CUI program (32 C.F.R. part</w:t>
      </w:r>
      <w:r>
        <w:t xml:space="preserve"> </w:t>
      </w:r>
      <w:r>
        <w:t xml:space="preserve">2002) and, for defense contractors and their subcontractors, by the safeguarding and incident-reporting clause in</w:t>
      </w:r>
      <w:r>
        <w:t xml:space="preserve"> </w:t>
      </w:r>
      <w:r>
        <w:t xml:space="preserve">DFARS 252.204-7012. A project that accepts CUI must meet the clause’s security requirements and report cyber</w:t>
      </w:r>
      <w:r>
        <w:t xml:space="preserve"> </w:t>
      </w:r>
      <w:r>
        <w:t xml:space="preserve">incidents, and the information stays controlled after the project ends. The research agreement should identify any</w:t>
      </w:r>
      <w:r>
        <w:t xml:space="preserve"> </w:t>
      </w:r>
      <w:r>
        <w:t xml:space="preserve">CUI at the start (</w:t>
      </w:r>
      <w:hyperlink r:id="rId34">
        <w:r>
          <w:rPr>
            <w:rStyle w:val="Hyperlink"/>
          </w:rPr>
          <w:t xml:space="preserve">Form A5-1</w:t>
        </w:r>
      </w:hyperlink>
      <w:r>
        <w:t xml:space="preserve">).</w:t>
      </w:r>
    </w:p>
    <w:bookmarkEnd w:id="35"/>
    <w:bookmarkStart w:id="36" w:name="X2fb2bbee05d0481b6848f7a35a9ed76e710fbb3"/>
    <w:p>
      <w:pPr>
        <w:pStyle w:val="Heading3"/>
      </w:pPr>
      <w:r>
        <w:t xml:space="preserve">3.5 Federally funded UAP research has been published before</w:t>
      </w:r>
    </w:p>
    <w:p>
      <w:pPr>
        <w:pStyle w:val="FirstParagraph"/>
      </w:pPr>
      <w:r>
        <w:t xml:space="preserve">The Defense Intelligence Agency’s Advanced Aerospace Weapon System Applications Program commissioned 38 Defense</w:t>
      </w:r>
      <w:r>
        <w:t xml:space="preserve"> </w:t>
      </w:r>
      <w:r>
        <w:t xml:space="preserve">Intelligence Reference Documents on propulsion, materials, and related physics, and DIA released their titles under</w:t>
      </w:r>
      <w:r>
        <w:t xml:space="preserve"> </w:t>
      </w:r>
      <w:r>
        <w:t xml:space="preserve">FOIA in 2018. A former director of the Navy’s UAP Task Force describes their scope (Jay Stratton,</w:t>
      </w:r>
      <w:r>
        <w:t xml:space="preserve"> </w:t>
      </w:r>
      <w:r>
        <w:rPr>
          <w:iCs/>
          <w:i/>
        </w:rPr>
        <w:t xml:space="preserve">Out of the</w:t>
      </w:r>
      <w:r>
        <w:rPr>
          <w:iCs/>
          <w:i/>
        </w:rPr>
        <w:t xml:space="preserve"> </w:t>
      </w:r>
      <w:r>
        <w:rPr>
          <w:iCs/>
          <w:i/>
        </w:rPr>
        <w:t xml:space="preserve">Shadows</w:t>
      </w:r>
      <w:r>
        <w:t xml:space="preserve"> </w:t>
      </w:r>
      <w:r>
        <w:t xml:space="preserve">ch. 12 (2026)). The papers show that a government sponsor can fund speculative physics in this field without</w:t>
      </w:r>
      <w:r>
        <w:t xml:space="preserve"> </w:t>
      </w:r>
      <w:r>
        <w:t xml:space="preserve">classifying the results, which is a useful precedent when a sponsor proposes publication restrictions.</w:t>
      </w:r>
    </w:p>
    <w:bookmarkEnd w:id="36"/>
    <w:bookmarkEnd w:id="37"/>
    <w:bookmarkStart w:id="38" w:name="academic-freedom-and-retaliation"/>
    <w:p>
      <w:pPr>
        <w:pStyle w:val="Heading2"/>
      </w:pPr>
      <w:r>
        <w:t xml:space="preserve">4. Academic freedom and retaliation</w:t>
      </w:r>
    </w:p>
    <w:p>
      <w:pPr>
        <w:pStyle w:val="Compact"/>
        <w:numPr>
          <w:ilvl w:val="0"/>
          <w:numId w:val="1005"/>
        </w:numPr>
      </w:pPr>
      <w:r>
        <w:rPr>
          <w:iCs/>
          <w:i/>
        </w:rPr>
        <w:t xml:space="preserve">Garcetti v. Ceballos</w:t>
      </w:r>
      <w:r>
        <w:t xml:space="preserve">, 547 U.S. 410, 421 (2006), held that public employees speaking pursuant to</w:t>
      </w:r>
      <w:r>
        <w:t xml:space="preserve"> </w:t>
      </w:r>
      <w:r>
        <w:t xml:space="preserve">official duties are not speaking as citizens, but reserved whether the rule applies to</w:t>
      </w:r>
      <w:r>
        <w:t xml:space="preserve"> </w:t>
      </w:r>
      <w:r>
        <w:t xml:space="preserve">“</w:t>
      </w:r>
      <w:r>
        <w:t xml:space="preserve">speech related</w:t>
      </w:r>
      <w:r>
        <w:t xml:space="preserve"> </w:t>
      </w:r>
      <w:r>
        <w:t xml:space="preserve">to scholarship or teaching.</w:t>
      </w:r>
      <w:r>
        <w:t xml:space="preserve">”</w:t>
      </w:r>
      <w:r>
        <w:t xml:space="preserve"> </w:t>
      </w:r>
      <w:r>
        <w:rPr>
          <w:iCs/>
          <w:i/>
        </w:rPr>
        <w:t xml:space="preserve">Id.</w:t>
      </w:r>
      <w:r>
        <w:t xml:space="preserve"> </w:t>
      </w:r>
      <w:r>
        <w:t xml:space="preserve">at 425.</w:t>
      </w:r>
    </w:p>
    <w:p>
      <w:pPr>
        <w:pStyle w:val="Compact"/>
        <w:numPr>
          <w:ilvl w:val="0"/>
          <w:numId w:val="1005"/>
        </w:numPr>
      </w:pPr>
      <w:r>
        <w:t xml:space="preserve">Several circuits have held that</w:t>
      </w:r>
      <w:r>
        <w:t xml:space="preserve"> </w:t>
      </w:r>
      <w:r>
        <w:rPr>
          <w:iCs/>
          <w:i/>
        </w:rPr>
        <w:t xml:space="preserve">Garcetti</w:t>
      </w:r>
      <w:r>
        <w:t xml:space="preserve"> </w:t>
      </w:r>
      <w:r>
        <w:t xml:space="preserve">does not apply to academic scholarship and teaching at</w:t>
      </w:r>
      <w:r>
        <w:t xml:space="preserve"> </w:t>
      </w:r>
      <w:r>
        <w:t xml:space="preserve">public universities:</w:t>
      </w:r>
      <w:r>
        <w:t xml:space="preserve"> </w:t>
      </w:r>
      <w:r>
        <w:rPr>
          <w:iCs/>
          <w:i/>
        </w:rPr>
        <w:t xml:space="preserve">Demers v. Austin</w:t>
      </w:r>
      <w:r>
        <w:t xml:space="preserve">, 746 F.3d 402 (9th Cir. 2014);</w:t>
      </w:r>
      <w:r>
        <w:t xml:space="preserve"> </w:t>
      </w:r>
      <w:r>
        <w:rPr>
          <w:iCs/>
          <w:i/>
        </w:rPr>
        <w:t xml:space="preserve">Adams v. Trustees of the</w:t>
      </w:r>
      <w:r>
        <w:rPr>
          <w:iCs/>
          <w:i/>
        </w:rPr>
        <w:t xml:space="preserve"> </w:t>
      </w:r>
      <w:r>
        <w:rPr>
          <w:iCs/>
          <w:i/>
        </w:rPr>
        <w:t xml:space="preserve">University of North Carolina-Wilmington</w:t>
      </w:r>
      <w:r>
        <w:t xml:space="preserve">, 640 F.3d 550 (4th Cir. 2011);</w:t>
      </w:r>
      <w:r>
        <w:t xml:space="preserve"> </w:t>
      </w:r>
      <w:r>
        <w:rPr>
          <w:iCs/>
          <w:i/>
        </w:rPr>
        <w:t xml:space="preserve">Meriwether v. Hartop</w:t>
      </w:r>
      <w:r>
        <w:t xml:space="preserve">, 992</w:t>
      </w:r>
      <w:r>
        <w:t xml:space="preserve"> </w:t>
      </w:r>
      <w:r>
        <w:t xml:space="preserve">F.3d 492 (6th Cir. 2021).</w:t>
      </w:r>
      <w:r>
        <w:t xml:space="preserve"> </w:t>
      </w:r>
      <w:r>
        <w:rPr>
          <w:iCs/>
          <w:i/>
        </w:rPr>
        <w:t xml:space="preserve">Demers</w:t>
      </w:r>
      <w:r>
        <w:t xml:space="preserve"> </w:t>
      </w:r>
      <w:r>
        <w:t xml:space="preserve">holds, as a matter of first impression, that teaching and academic writing by state-employed teachers are</w:t>
      </w:r>
      <w:r>
        <w:t xml:space="preserve"> </w:t>
      </w:r>
      <w:r>
        <w:t xml:space="preserve">analyzed under the</w:t>
      </w:r>
      <w:r>
        <w:t xml:space="preserve"> </w:t>
      </w:r>
      <w:r>
        <w:rPr>
          <w:iCs/>
          <w:i/>
        </w:rPr>
        <w:t xml:space="preserve">Pickering</w:t>
      </w:r>
      <w:r>
        <w:t xml:space="preserve"> </w:t>
      </w:r>
      <w:r>
        <w:t xml:space="preserve">balancing test, and</w:t>
      </w:r>
      <w:r>
        <w:t xml:space="preserve"> </w:t>
      </w:r>
      <w:r>
        <w:rPr>
          <w:iCs/>
          <w:i/>
        </w:rPr>
        <w:t xml:space="preserve">Meriwether</w:t>
      </w:r>
      <w:r>
        <w:t xml:space="preserve"> </w:t>
      </w:r>
      <w:r>
        <w:t xml:space="preserve">that First Amendment protection for public university</w:t>
      </w:r>
      <w:r>
        <w:t xml:space="preserve"> </w:t>
      </w:r>
      <w:r>
        <w:t xml:space="preserve">professors’ core teaching speech survives</w:t>
      </w:r>
      <w:r>
        <w:t xml:space="preserve"> </w:t>
      </w:r>
      <w:r>
        <w:rPr>
          <w:iCs/>
          <w:i/>
        </w:rPr>
        <w:t xml:space="preserve">Garcetti</w:t>
      </w:r>
      <w:r>
        <w:t xml:space="preserve">.</w:t>
      </w:r>
      <w:r>
        <w:t xml:space="preserve"> </w:t>
      </w:r>
      <w:r>
        <w:rPr>
          <w:iCs/>
          <w:i/>
        </w:rPr>
        <w:t xml:space="preserve">Adams</w:t>
      </w:r>
      <w:r>
        <w:t xml:space="preserve"> </w:t>
      </w:r>
      <w:r>
        <w:t xml:space="preserve">held that</w:t>
      </w:r>
      <w:r>
        <w:t xml:space="preserve"> </w:t>
      </w:r>
      <w:r>
        <w:t xml:space="preserve">“</w:t>
      </w:r>
      <w:r>
        <w:rPr>
          <w:iCs/>
          <w:i/>
        </w:rPr>
        <w:t xml:space="preserve">Garcetti</w:t>
      </w:r>
      <w:r>
        <w:t xml:space="preserve"> </w:t>
      </w:r>
      <w:r>
        <w:t xml:space="preserve">would not apply in the academic</w:t>
      </w:r>
      <w:r>
        <w:t xml:space="preserve"> </w:t>
      </w:r>
      <w:r>
        <w:t xml:space="preserve">context of a public university as represented by the facts of this case,</w:t>
      </w:r>
      <w:r>
        <w:t xml:space="preserve">”</w:t>
      </w:r>
      <w:r>
        <w:t xml:space="preserve"> </w:t>
      </w:r>
      <w:r>
        <w:t xml:space="preserve">640 F.3d at 562, where a professor’s</w:t>
      </w:r>
      <w:r>
        <w:t xml:space="preserve"> </w:t>
      </w:r>
      <w:r>
        <w:t xml:space="preserve">columns and books were</w:t>
      </w:r>
      <w:r>
        <w:t xml:space="preserve"> </w:t>
      </w:r>
      <w:r>
        <w:t xml:space="preserve">“</w:t>
      </w:r>
      <w:r>
        <w:t xml:space="preserve">intended for and directed at a national or international audience on issues of public</w:t>
      </w:r>
      <w:r>
        <w:t xml:space="preserve"> </w:t>
      </w:r>
      <w:r>
        <w:t xml:space="preserve">importance unrelated to any of [his] assigned teaching duties,</w:t>
      </w:r>
      <w:r>
        <w:t xml:space="preserve">”</w:t>
      </w:r>
      <w:r>
        <w:t xml:space="preserve"> </w:t>
      </w:r>
      <w:r>
        <w:rPr>
          <w:iCs/>
          <w:i/>
        </w:rPr>
        <w:t xml:space="preserve">id.</w:t>
      </w:r>
      <w:r>
        <w:t xml:space="preserve"> </w:t>
      </w:r>
      <w:r>
        <w:t xml:space="preserve">at 564, and remanded the retaliation claim.</w:t>
      </w:r>
    </w:p>
    <w:p>
      <w:pPr>
        <w:pStyle w:val="Compact"/>
        <w:numPr>
          <w:ilvl w:val="0"/>
          <w:numId w:val="1005"/>
        </w:numPr>
      </w:pPr>
      <w:r>
        <w:t xml:space="preserve">Researchers at public universities who are disciplined or denied tenure for UAP research therefore</w:t>
      </w:r>
      <w:r>
        <w:t xml:space="preserve"> </w:t>
      </w:r>
      <w:r>
        <w:t xml:space="preserve">have a First Amendment claim in those circuits, analyzed under</w:t>
      </w:r>
      <w:r>
        <w:t xml:space="preserve"> </w:t>
      </w:r>
      <w:r>
        <w:rPr>
          <w:iCs/>
          <w:i/>
        </w:rPr>
        <w:t xml:space="preserve">Pickering v. Board of Education</w:t>
      </w:r>
      <w:r>
        <w:t xml:space="preserve">, 391</w:t>
      </w:r>
      <w:r>
        <w:t xml:space="preserve"> </w:t>
      </w:r>
      <w:r>
        <w:t xml:space="preserve">U.S. 563 (1968). Researchers at private institutions rely on faculty handbooks, contracts, and</w:t>
      </w:r>
      <w:r>
        <w:t xml:space="preserve"> </w:t>
      </w:r>
      <w:r>
        <w:t xml:space="preserve">academic freedom policies (AAUP 1940 Statement).</w:t>
      </w:r>
    </w:p>
    <w:p>
      <w:pPr>
        <w:pStyle w:val="Compact"/>
        <w:numPr>
          <w:ilvl w:val="0"/>
          <w:numId w:val="1005"/>
        </w:numPr>
      </w:pPr>
      <w:r>
        <w:t xml:space="preserve">Federal scientists (NASA, DOE laboratories, DoD laboratories) are covered by agency scientific</w:t>
      </w:r>
      <w:r>
        <w:t xml:space="preserve"> </w:t>
      </w:r>
      <w:r>
        <w:t xml:space="preserve">integrity policies and the Whistleblower Protection Act for disclosures of wrongdoing, but not for</w:t>
      </w:r>
      <w:r>
        <w:t xml:space="preserve"> </w:t>
      </w:r>
      <w:r>
        <w:t xml:space="preserve">research choices as such.</w:t>
      </w:r>
    </w:p>
    <w:p>
      <w:r>
        <w:pict>
          <v:rect style="width:0;height:1.5pt" o:hralign="center" o:hrstd="t" o:hr="t"/>
        </w:pict>
      </w:r>
    </w:p>
    <w:bookmarkEnd w:id="38"/>
    <w:bookmarkStart w:id="40" w:name="insider-information-and-spillage"/>
    <w:p>
      <w:pPr>
        <w:pStyle w:val="Heading2"/>
      </w:pPr>
      <w:r>
        <w:t xml:space="preserve">5. Insider information and spillage</w:t>
      </w:r>
    </w:p>
    <w:p>
      <w:pPr>
        <w:pStyle w:val="FirstParagraph"/>
      </w:pPr>
      <w:r>
        <w:t xml:space="preserve">A scientist who receives information from a cleared insider faces risks that ordinary research does</w:t>
      </w:r>
      <w:r>
        <w:t xml:space="preserve"> </w:t>
      </w:r>
      <w:r>
        <w:t xml:space="preserve">not:</w:t>
      </w:r>
    </w:p>
    <w:p>
      <w:pPr>
        <w:pStyle w:val="Compact"/>
        <w:numPr>
          <w:ilvl w:val="0"/>
          <w:numId w:val="1006"/>
        </w:numPr>
      </w:pPr>
      <w:r>
        <w:t xml:space="preserve">Information that remains classified does not lose its classification because it has been disclosed</w:t>
      </w:r>
      <w:r>
        <w:t xml:space="preserve"> </w:t>
      </w:r>
      <w:r>
        <w:t xml:space="preserve">without authorization. A researcher who retains or further discloses national defense information</w:t>
      </w:r>
      <w:r>
        <w:t xml:space="preserve"> </w:t>
      </w:r>
      <w:r>
        <w:t xml:space="preserve">can face exposure under 18 U.S.C. §793(e) (</w:t>
      </w:r>
      <w:hyperlink r:id="rId39">
        <w:r>
          <w:rPr>
            <w:rStyle w:val="Hyperlink"/>
          </w:rPr>
          <w:t xml:space="preserve">Issue B4</w:t>
        </w:r>
      </w:hyperlink>
      <w:r>
        <w:t xml:space="preserve">, C3).</w:t>
      </w:r>
    </w:p>
    <w:p>
      <w:pPr>
        <w:pStyle w:val="Compact"/>
        <w:numPr>
          <w:ilvl w:val="0"/>
          <w:numId w:val="1006"/>
        </w:numPr>
      </w:pPr>
      <w:r>
        <w:t xml:space="preserve">Universities with facility clearances must report suspected classified information under the National</w:t>
      </w:r>
      <w:r>
        <w:t xml:space="preserve"> </w:t>
      </w:r>
      <w:r>
        <w:t xml:space="preserve">Industrial Security Program Operating Manual, 32 C.F.R. part 117.</w:t>
      </w:r>
    </w:p>
    <w:p>
      <w:pPr>
        <w:pStyle w:val="Compact"/>
        <w:numPr>
          <w:ilvl w:val="0"/>
          <w:numId w:val="1006"/>
        </w:numPr>
      </w:pPr>
      <w:r>
        <w:t xml:space="preserve">A disclosure made through the 50 U.S.C. §3373b channel is protected for the person making it; the</w:t>
      </w:r>
      <w:r>
        <w:t xml:space="preserve"> </w:t>
      </w:r>
      <w:r>
        <w:t xml:space="preserve">protection does not extend to a researcher who receives the same information informally.</w:t>
      </w:r>
    </w:p>
    <w:p>
      <w:pPr>
        <w:pStyle w:val="FirstParagraph"/>
      </w:pPr>
      <w:r>
        <w:t xml:space="preserve">Institutions should adopt a written policy for unsolicited UAP information: do not open or copy marked</w:t>
      </w:r>
      <w:r>
        <w:t xml:space="preserve"> </w:t>
      </w:r>
      <w:r>
        <w:t xml:space="preserve">material; route it to the security officer; document receipt; and seek counsel (</w:t>
      </w:r>
      <w:hyperlink r:id="rId21">
        <w:r>
          <w:rPr>
            <w:rStyle w:val="Hyperlink"/>
          </w:rPr>
          <w:t xml:space="preserve">Form A5-2</w:t>
        </w:r>
      </w:hyperlink>
      <w:r>
        <w:t xml:space="preserve">).</w:t>
      </w:r>
    </w:p>
    <w:p>
      <w:r>
        <w:pict>
          <v:rect style="width:0;height:1.5pt" o:hralign="center" o:hrstd="t" o:hr="t"/>
        </w:pict>
      </w:r>
    </w:p>
    <w:bookmarkEnd w:id="40"/>
    <w:bookmarkStart w:id="41" w:name="after-disclosure"/>
    <w:p>
      <w:pPr>
        <w:pStyle w:val="Heading2"/>
      </w:pPr>
      <w:r>
        <w:t xml:space="preserve">6. After disclosure</w:t>
      </w:r>
    </w:p>
    <w:p>
      <w:pPr>
        <w:pStyle w:val="Compact"/>
        <w:numPr>
          <w:ilvl w:val="0"/>
          <w:numId w:val="1007"/>
        </w:numPr>
      </w:pPr>
      <w:r>
        <w:rPr>
          <w:bCs/>
          <w:b/>
        </w:rPr>
        <w:t xml:space="preserve">Access.</w:t>
      </w:r>
      <w:r>
        <w:t xml:space="preserve"> </w:t>
      </w:r>
      <w:r>
        <w:t xml:space="preserve">Expect early scientific work on any confirmed material to be performed by cleared</w:t>
      </w:r>
      <w:r>
        <w:t xml:space="preserve"> </w:t>
      </w:r>
      <w:r>
        <w:t xml:space="preserve">government and contractor scientists. Independent scientists will need access agreements, clearances,</w:t>
      </w:r>
      <w:r>
        <w:t xml:space="preserve"> </w:t>
      </w:r>
      <w:r>
        <w:t xml:space="preserve">or statutory access rights. The pending House bill gives the Review Board access to material and makes no provision for access by</w:t>
      </w:r>
      <w:r>
        <w:t xml:space="preserve"> </w:t>
      </w:r>
      <w:r>
        <w:t xml:space="preserve">independent scientists (H.R. 8800 §1767(b)); scientific access should be a priority for advocates.</w:t>
      </w:r>
    </w:p>
    <w:p>
      <w:pPr>
        <w:pStyle w:val="Compact"/>
        <w:numPr>
          <w:ilvl w:val="0"/>
          <w:numId w:val="1007"/>
        </w:numPr>
      </w:pPr>
      <w:r>
        <w:rPr>
          <w:bCs/>
          <w:b/>
        </w:rPr>
        <w:t xml:space="preserve">Controls.</w:t>
      </w:r>
      <w:r>
        <w:t xml:space="preserve"> </w:t>
      </w:r>
      <w:r>
        <w:t xml:space="preserve">Expect Commerce to use 0Y521 or new ECCNs for derived technology, and State to revise USML</w:t>
      </w:r>
      <w:r>
        <w:t xml:space="preserve"> </w:t>
      </w:r>
      <w:r>
        <w:t xml:space="preserve">Category XXI. Commodity jurisdiction requests (22 C.F.R. §120.4) will be the main route for researchers</w:t>
      </w:r>
      <w:r>
        <w:t xml:space="preserve"> </w:t>
      </w:r>
      <w:r>
        <w:t xml:space="preserve">seeking a determination that particular work is not ITAR-controlled.</w:t>
      </w:r>
    </w:p>
    <w:p>
      <w:pPr>
        <w:pStyle w:val="Compact"/>
        <w:numPr>
          <w:ilvl w:val="0"/>
          <w:numId w:val="1007"/>
        </w:numPr>
      </w:pPr>
      <w:r>
        <w:rPr>
          <w:bCs/>
          <w:b/>
        </w:rPr>
        <w:t xml:space="preserve">International collaboration.</w:t>
      </w:r>
      <w:r>
        <w:t xml:space="preserve"> </w:t>
      </w:r>
      <w:r>
        <w:t xml:space="preserve">NSPM-33 research-security requirements, foreign-talent-program</w:t>
      </w:r>
      <w:r>
        <w:t xml:space="preserve"> </w:t>
      </w:r>
      <w:r>
        <w:t xml:space="preserve">disclosure rules, and the EU Dual-Use Regulation (EU) 2021/821 (with its basic scientific research</w:t>
      </w:r>
      <w:r>
        <w:t xml:space="preserve"> </w:t>
      </w:r>
      <w:r>
        <w:t xml:space="preserve">exemption) will govern collaborations. Policy groups such as the Sol Foundation have published proposals for international</w:t>
      </w:r>
      <w:r>
        <w:t xml:space="preserve"> </w:t>
      </w:r>
      <w:r>
        <w:t xml:space="preserve">governance of UAP-derived technology.</w:t>
      </w:r>
    </w:p>
    <w:p>
      <w:r>
        <w:pict>
          <v:rect style="width:0;height:1.5pt" o:hralign="center" o:hrstd="t" o:hr="t"/>
        </w:pict>
      </w:r>
    </w:p>
    <w:bookmarkEnd w:id="41"/>
    <w:bookmarkStart w:id="42" w:name="X7ffc9c5e18ff1ad9f6c63bd82ec0c9c18b537a9"/>
    <w:p>
      <w:pPr>
        <w:pStyle w:val="Heading2"/>
      </w:pPr>
      <w:r>
        <w:t xml:space="preserve">7. Practice checklist for research institutions</w:t>
      </w:r>
    </w:p>
    <w:p>
      <w:pPr>
        <w:pStyle w:val="Compact"/>
        <w:numPr>
          <w:ilvl w:val="0"/>
          <w:numId w:val="1008"/>
        </w:numPr>
      </w:pPr>
      <w:r>
        <w:t xml:space="preserve">Classify each UAP project at the outset: fundamental research (no publication restrictions, no</w:t>
      </w:r>
      <w:r>
        <w:t xml:space="preserve"> </w:t>
      </w:r>
      <w:r>
        <w:t xml:space="preserve">controlled inputs) or controlled research (technology control plan, foreign-national screening).</w:t>
      </w:r>
    </w:p>
    <w:p>
      <w:pPr>
        <w:pStyle w:val="Compact"/>
        <w:numPr>
          <w:ilvl w:val="0"/>
          <w:numId w:val="1008"/>
        </w:numPr>
      </w:pPr>
      <w:r>
        <w:t xml:space="preserve">Refuse sponsor clauses that restrict publication beyond customary EAR review, unless the project is</w:t>
      </w:r>
      <w:r>
        <w:t xml:space="preserve"> </w:t>
      </w:r>
      <w:r>
        <w:t xml:space="preserve">intended to be controlled.</w:t>
      </w:r>
    </w:p>
    <w:p>
      <w:pPr>
        <w:pStyle w:val="Compact"/>
        <w:numPr>
          <w:ilvl w:val="0"/>
          <w:numId w:val="1008"/>
        </w:numPr>
      </w:pPr>
      <w:r>
        <w:t xml:space="preserve">Segregate any controlled inputs; log who has access.</w:t>
      </w:r>
    </w:p>
    <w:p>
      <w:pPr>
        <w:pStyle w:val="Compact"/>
        <w:numPr>
          <w:ilvl w:val="0"/>
          <w:numId w:val="1008"/>
        </w:numPr>
      </w:pPr>
      <w:r>
        <w:t xml:space="preserve">Request commodity jurisdiction or classification determinations for anything that might be a defense</w:t>
      </w:r>
      <w:r>
        <w:t xml:space="preserve"> </w:t>
      </w:r>
      <w:r>
        <w:t xml:space="preserve">article.</w:t>
      </w:r>
    </w:p>
    <w:p>
      <w:pPr>
        <w:pStyle w:val="Compact"/>
        <w:numPr>
          <w:ilvl w:val="0"/>
          <w:numId w:val="1008"/>
        </w:numPr>
      </w:pPr>
      <w:r>
        <w:t xml:space="preserve">Adopt a spillage and unsolicited-information policy.</w:t>
      </w:r>
    </w:p>
    <w:p>
      <w:pPr>
        <w:pStyle w:val="Compact"/>
        <w:numPr>
          <w:ilvl w:val="0"/>
          <w:numId w:val="1008"/>
        </w:numPr>
      </w:pPr>
      <w:r>
        <w:t xml:space="preserve">For energy-related work near nuclear categories, consult DOE early.</w:t>
      </w:r>
    </w:p>
    <w:p>
      <w:pPr>
        <w:pStyle w:val="Compact"/>
        <w:numPr>
          <w:ilvl w:val="0"/>
          <w:numId w:val="1008"/>
        </w:numPr>
      </w:pPr>
      <w:r>
        <w:t xml:space="preserve">Preserve academic freedom by contract (faculty handbook language protecting controversial research</w:t>
      </w:r>
      <w:r>
        <w:t xml:space="preserve"> </w:t>
      </w:r>
      <w:r>
        <w:t xml:space="preserve">topics).</w:t>
      </w:r>
    </w:p>
    <w:p>
      <w:r>
        <w:pict>
          <v:rect style="width:0;height:1.5pt" o:hralign="center" o:hrstd="t" o:hr="t"/>
        </w:pict>
      </w:r>
    </w:p>
    <w:bookmarkEnd w:id="42"/>
    <w:sectPr>
      <w:headerReference w:type="default" r:id="rId9"/>
      <w:footerReference w:type="default" r:id="rId10"/>
      <w:pgSz w:h="15840" w:w="12240"/>
      <w:pgMar w:bottom="1440" w:left="1440" w:right="1440" w:top="1440" w:header="720" w:footer="576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4" w:space="4" w:color="9AA5AE"/>
      </w:pBdr>
      <w:tabs>
        <w:tab w:pos="9360" w:val="right"/>
      </w:tabs>
    </w:pPr>
    <w:r>
      <w:rPr>
        <w:rFonts w:ascii="Cambria" w:hAnsi="Cambria" w:cs="Cambria" w:eastAsia="Cambria"/>
        <w:color w:val="55606B"/>
        <w:sz w:val="17"/>
      </w:rPr>
      <w:t>Researching Anomalies Lawfully: Classification, Export Controls, and ...</w:t>
    </w:r>
    <w:r>
      <w:rPr>
        <w:rFonts w:ascii="Cambria" w:hAnsi="Cambria" w:cs="Cambria" w:eastAsia="Cambria"/>
        <w:color w:val="55606B"/>
        <w:sz w:val="17"/>
      </w:rPr>
      <w:tab/>
      <w:t xml:space="preserve">Page </w:t>
    </w:r>
    <w:r>
      <w:rPr>
        <w:rFonts w:ascii="Cambria" w:hAnsi="Cambria" w:cs="Cambria" w:eastAsia="Cambria"/>
        <w:sz w:val="17"/>
      </w:rPr>
      <w:fldChar w:fldCharType="begin"/>
    </w:r>
    <w:r>
      <w:rPr>
        <w:rFonts w:ascii="Cambria" w:hAnsi="Cambria" w:cs="Cambria" w:eastAsia="Cambria"/>
        <w:sz w:val="17"/>
      </w:rPr>
      <w:instrText xml:space="preserve"> PAGE </w:instrText>
    </w:r>
    <w:r>
      <w:rPr>
        <w:rFonts w:ascii="Cambria" w:hAnsi="Cambria" w:cs="Cambria" w:eastAsia="Cambria"/>
        <w:sz w:val="17"/>
      </w:rPr>
      <w:fldChar w:fldCharType="separate"/>
    </w:r>
    <w:r>
      <w:rPr>
        <w:rFonts w:ascii="Cambria" w:hAnsi="Cambria" w:cs="Cambria" w:eastAsia="Cambria"/>
        <w:sz w:val="17"/>
      </w:rPr>
      <w:t>1</w:t>
    </w:r>
    <w:r>
      <w:rPr>
        <w:rFonts w:ascii="Cambria" w:hAnsi="Cambria" w:cs="Cambria" w:eastAsia="Cambria"/>
        <w:sz w:val="17"/>
      </w:rP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60" w:before="0" w:line="259" w:lineRule="auto"/>
    </w:pPr>
    <w:rPr>
      <w:rFonts w:ascii="Cambria" w:cs="Cambria" w:eastAsia="Cambria" w:hAnsi="Cambria"/>
      <w:color w:val="000000"/>
      <w:sz w:val="23"/>
    </w:rPr>
  </w:style>
  <w:style w:styleId="BodyText" w:type="paragraph">
    <w:name w:val="Body Text"/>
    <w:basedOn w:val="Normal"/>
    <w:link w:val="BodyTextChar"/>
    <w:pPr>
      <w:spacing w:after="160" w:before="0" w:line="259" w:lineRule="auto"/>
    </w:pPr>
    <w:qFormat/>
    <w:rPr>
      <w:rFonts w:ascii="Cambria" w:cs="Cambria" w:eastAsia="Cambria" w:hAnsi="Cambria"/>
      <w:color w:val="000000"/>
      <w:sz w:val="23"/>
    </w:rPr>
  </w:style>
  <w:style w:customStyle="1" w:styleId="FirstParagraph" w:type="paragraph">
    <w:name w:val="First Paragraph"/>
    <w:basedOn w:val="BodyText"/>
    <w:next w:val="BodyText"/>
    <w:qFormat/>
    <w:pPr>
      <w:spacing w:after="160" w:before="0" w:line="259" w:lineRule="auto"/>
    </w:pPr>
    <w:rPr>
      <w:rFonts w:ascii="Cambria" w:cs="Cambria" w:eastAsia="Cambria" w:hAnsi="Cambria"/>
      <w:color w:val="000000"/>
      <w:sz w:val="23"/>
    </w:rPr>
  </w:style>
  <w:style w:customStyle="1" w:styleId="Compact" w:type="paragraph">
    <w:name w:val="Compact"/>
    <w:basedOn w:val="BodyText"/>
    <w:qFormat/>
    <w:pPr>
      <w:spacing w:after="160" w:before="0" w:line="259" w:lineRule="auto"/>
    </w:pPr>
    <w:rPr>
      <w:rFonts w:ascii="Cambria" w:cs="Cambria" w:eastAsia="Cambria" w:hAnsi="Cambria"/>
      <w:color w:val="000000"/>
      <w:sz w:val="23"/>
    </w:rPr>
  </w:style>
  <w:style w:styleId="Title" w:type="paragraph">
    <w:name w:val="Title"/>
    <w:basedOn w:val="Normal"/>
    <w:next w:val="BodyText"/>
    <w:qFormat/>
    <w:pPr>
      <w:keepNext/>
      <w:keepLines/>
      <w:spacing w:after="160" w:before="480"/>
      <w:jc w:val="left"/>
    </w:pPr>
    <w:rPr>
      <w:rFonts w:ascii="Cambria" w:cs="Cambria" w:eastAsia="Cambria" w:hAnsi="Cambria"/>
      <w:b/>
      <w:bCs/>
      <w:color w:val="1A2B3C"/>
      <w:sz w:val="40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160" w:before="240"/>
      <w:jc w:val="left"/>
    </w:pPr>
    <w:rPr>
      <w:rFonts w:ascii="Cambria" w:cs="Cambria" w:eastAsia="Cambria" w:hAnsi="Cambria"/>
      <w:color w:val="1A2B3C"/>
      <w:sz w:val="22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  <w:rPr>
      <w:rFonts w:ascii="Cambria" w:cs="Cambria" w:eastAsia="Cambria" w:hAnsi="Cambria"/>
      <w:color w:val="000000"/>
    </w:rPr>
  </w:style>
  <w:style w:styleId="Date" w:type="paragraph">
    <w:name w:val="Date"/>
    <w:next w:val="BodyText"/>
    <w:qFormat/>
    <w:pPr>
      <w:keepNext/>
      <w:keepLines/>
      <w:jc w:val="center"/>
    </w:pPr>
    <w:rPr>
      <w:rFonts w:ascii="Cambria" w:cs="Cambria" w:eastAsia="Cambria" w:hAnsi="Cambria"/>
      <w:color w:val="000000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color w:val="000000"/>
      <w:sz w:val="20"/>
      <w:szCs w:val="20"/>
      <w:rFonts w:ascii="Cambria" w:cs="Cambria" w:eastAsia="Cambria" w:hAnsi="Cambria"/>
      <w:b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rFonts w:ascii="Cambria" w:cs="Cambria" w:eastAsia="Cambria" w:hAnsi="Cambria"/>
      <w:color w:val="000000"/>
      <w:sz w:val="20"/>
      <w:szCs w:val="20"/>
    </w:rPr>
  </w:style>
  <w:style w:styleId="Bibliography" w:type="paragraph">
    <w:name w:val="Bibliography"/>
    <w:basedOn w:val="Normal"/>
    <w:next w:val="Bibliography"/>
    <w:qFormat/>
    <w:pPr/>
    <w:rPr>
      <w:rFonts w:ascii="Cambria" w:cs="Cambria" w:eastAsia="Cambria" w:hAnsi="Cambria"/>
      <w:color w:val="000000"/>
    </w:rPr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120" w:before="280"/>
      <w:outlineLvl w:val="0"/>
    </w:pPr>
    <w:rPr>
      <w:rFonts w:ascii="Cambria" w:cs="Cambria" w:eastAsia="Cambria" w:hAnsi="Cambria"/>
      <w:b/>
      <w:bCs/>
      <w:i w:val="0"/>
      <w:color w:val="1A2B3C"/>
      <w:sz w:val="30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120" w:before="200"/>
      <w:outlineLvl w:val="1"/>
    </w:pPr>
    <w:rPr>
      <w:rFonts w:ascii="Cambria" w:cs="Cambria" w:eastAsia="Cambria" w:hAnsi="Cambria"/>
      <w:b/>
      <w:bCs/>
      <w:i w:val="0"/>
      <w:color w:val="1A2B3C"/>
      <w:sz w:val="25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120" w:before="200"/>
      <w:outlineLvl w:val="2"/>
    </w:pPr>
    <w:rPr>
      <w:rFonts w:ascii="Cambria" w:cs="Cambria" w:eastAsia="Cambria" w:hAnsi="Cambria"/>
      <w:b/>
      <w:bCs/>
      <w:i w:val="0"/>
      <w:color w:val="1A2B3C"/>
      <w:sz w:val="23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120" w:before="200"/>
      <w:outlineLvl w:val="3"/>
    </w:pPr>
    <w:rPr>
      <w:rFonts w:ascii="Cambria" w:cs="Cambria" w:eastAsia="Cambria" w:hAnsi="Cambria"/>
      <w:i w:val="0"/>
      <w:b/>
      <w:bCs/>
      <w:color w:val="1A2B3C"/>
      <w:sz w:val="23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="Cambria" w:cs="Cambria" w:eastAsia="Cambria" w:hAnsi="Cambria"/>
      <w:iCs/>
      <w:color w:val="000000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="Cambria" w:cs="Cambria" w:eastAsia="Cambria" w:hAnsi="Cambria"/>
      <w:color w:val="000000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="Cambria" w:cs="Cambria" w:eastAsia="Cambria" w:hAnsi="Cambria"/>
      <w:color w:val="000000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="Cambria" w:cs="Cambria" w:eastAsia="Cambria" w:hAnsi="Cambria"/>
      <w:color w:val="000000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="Cambria" w:cs="Cambria" w:eastAsia="Cambria" w:hAnsi="Cambria"/>
      <w:color w:val="000000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60" w:before="0" w:line="259" w:lineRule="auto"/>
      <w:ind w:firstLine="0" w:left="720" w:right="720"/>
    </w:pPr>
    <w:rPr>
      <w:rFonts w:ascii="Cambria" w:cs="Cambria" w:eastAsia="Cambria" w:hAnsi="Cambria"/>
      <w:color w:val="000000"/>
      <w:sz w:val="23"/>
    </w:rPr>
  </w:style>
  <w:style w:styleId="FootnoteText" w:type="paragraph">
    <w:name w:val="Footnote Text"/>
    <w:basedOn w:val="Normal"/>
    <w:next w:val="FootnoteText"/>
    <w:uiPriority w:val="9"/>
    <w:unhideWhenUsed/>
    <w:qFormat/>
    <w:rPr>
      <w:rFonts w:ascii="Cambria" w:cs="Cambria" w:eastAsia="Cambria" w:hAnsi="Cambria"/>
      <w:color w:val="000000"/>
    </w:rPr>
  </w:style>
  <w:style w:default="1" w:styleId="DefaultParagraphFont" w:type="character">
    <w:name w:val="Default Paragraph Font"/>
    <w:semiHidden/>
    <w:unhideWhenUsed/>
    <w:rPr>
      <w:rFonts w:ascii="Cambria" w:cs="Cambria" w:eastAsia="Cambria" w:hAnsi="Cambria"/>
      <w:color w:val="000000"/>
    </w:rPr>
  </w:style>
  <w:style w:default="1" w:styleId="Table" w:type="table">
    <w:name w:val="Table"/>
    <w:basedOn w:val="TableNormal"/>
    <w:semiHidden/>
    <w:unhideWhenUsed/>
    <w:qFormat/>
    <w:tblPr>
      <w:tblInd w:type="dxa" w:w="0"/>
      <w:tblBorders>
        <w:top w:color="1A2B3C" w:space="0" w:sz="8" w:val="single"/>
        <w:bottom w:color="1A2B3C" w:space="0" w:sz="8" w:val="single"/>
        <w:insideH w:color="9AA5AE" w:space="0" w:sz="4" w:val="single"/>
      </w:tblBorders>
      <w:tblCellMar>
        <w:top w:type="dxa" w:w="0"/>
        <w:left w:type="dxa" w:w="108"/>
        <w:bottom w:type="dxa" w:w="0"/>
        <w:right w:type="dxa" w:w="108"/>
      </w:tblCellMar>
      <w:tblCellMar>
        <w:top w:type="dxa" w:w="50"/>
        <w:bottom w:type="dxa" w:w="50"/>
        <w:left w:type="dxa" w:w="80"/>
        <w:right w:type="dxa" w:w="80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rFonts w:ascii="Cambria" w:cs="Cambria" w:eastAsia="Cambria" w:hAnsi="Cambria"/>
      <w:b/>
      <w:color w:val="000000"/>
    </w:rPr>
  </w:style>
  <w:style w:customStyle="1" w:styleId="Definition" w:type="paragraph">
    <w:name w:val="Definition"/>
    <w:basedOn w:val="Normal"/>
    <w:rPr>
      <w:rFonts w:ascii="Cambria" w:cs="Cambria" w:eastAsia="Cambria" w:hAnsi="Cambria"/>
      <w:color w:val="000000"/>
    </w:rPr>
  </w:style>
  <w:style w:styleId="Caption" w:type="paragraph">
    <w:name w:val="Caption"/>
    <w:basedOn w:val="Normal"/>
    <w:link w:val="BodyTextChar"/>
    <w:pPr>
      <w:spacing w:after="120" w:before="0"/>
    </w:pPr>
    <w:rPr>
      <w:rFonts w:ascii="Cambria" w:cs="Cambria" w:eastAsia="Cambria" w:hAnsi="Cambria"/>
      <w:i/>
      <w:color w:val="000000"/>
    </w:rPr>
  </w:style>
  <w:style w:customStyle="1" w:styleId="TableCaption" w:type="paragraph">
    <w:name w:val="Table Caption"/>
    <w:basedOn w:val="Caption"/>
    <w:pPr>
      <w:keepNext/>
    </w:pPr>
    <w:rPr>
      <w:rFonts w:ascii="Cambria" w:cs="Cambria" w:eastAsia="Cambria" w:hAnsi="Cambria"/>
      <w:color w:val="000000"/>
    </w:rPr>
  </w:style>
  <w:style w:customStyle="1" w:styleId="ImageCaption" w:type="paragraph">
    <w:name w:val="Image Caption"/>
    <w:basedOn w:val="Caption"/>
    <w:rPr>
      <w:rFonts w:ascii="Cambria" w:cs="Cambria" w:eastAsia="Cambria" w:hAnsi="Cambria"/>
      <w:color w:val="000000"/>
    </w:rPr>
  </w:style>
  <w:style w:customStyle="1" w:styleId="Figure" w:type="paragraph">
    <w:name w:val="Figure"/>
    <w:basedOn w:val="Normal"/>
    <w:rPr>
      <w:rFonts w:ascii="Cambria" w:cs="Cambria" w:eastAsia="Cambria" w:hAnsi="Cambria"/>
      <w:color w:val="000000"/>
    </w:rPr>
  </w:style>
  <w:style w:customStyle="1" w:styleId="CaptionedFigure" w:type="paragraph">
    <w:name w:val="Captioned Figure"/>
    <w:basedOn w:val="Figure"/>
    <w:pPr>
      <w:keepNext/>
    </w:pPr>
    <w:rPr>
      <w:rFonts w:ascii="Cambria" w:cs="Cambria" w:eastAsia="Cambria" w:hAnsi="Cambria"/>
      <w:color w:val="000000"/>
    </w:rPr>
  </w:style>
  <w:style w:customStyle="1" w:styleId="BodyTextChar" w:type="character">
    <w:name w:val="Body Text Char"/>
    <w:basedOn w:val="DefaultParagraphFont"/>
    <w:link w:val="BodyText"/>
    <w:rPr>
      <w:rFonts w:ascii="Cambria" w:cs="Cambria" w:eastAsia="Cambria" w:hAnsi="Cambria"/>
      <w:color w:val="000000"/>
    </w:rPr>
  </w:style>
  <w:style w:customStyle="1" w:styleId="VerbatimChar" w:type="character">
    <w:name w:val="Verbatim Char"/>
    <w:basedOn w:val="BodyTextChar"/>
    <w:rPr>
      <w:rFonts w:ascii="Cambria" w:cs="Cambria" w:eastAsia="Cambria" w:hAnsi="Cambria"/>
      <w:color w:val="000000"/>
      <w:sz w:val="22"/>
    </w:rPr>
  </w:style>
  <w:style w:customStyle="1" w:styleId="SectionNumber" w:type="character">
    <w:name w:val="Section Number"/>
    <w:basedOn w:val="BodyTextChar"/>
    <w:rPr>
      <w:rFonts w:ascii="Cambria" w:cs="Cambria" w:eastAsia="Cambria" w:hAnsi="Cambria"/>
      <w:color w:val="000000"/>
    </w:rPr>
  </w:style>
  <w:style w:styleId="FootnoteReference" w:type="character">
    <w:name w:val="Footnote Reference"/>
    <w:basedOn w:val="BodyTextChar"/>
    <w:rPr>
      <w:rFonts w:ascii="Cambria" w:cs="Cambria" w:eastAsia="Cambria" w:hAnsi="Cambria"/>
      <w:color w:val="000000"/>
      <w:vertAlign w:val="superscript"/>
    </w:rPr>
  </w:style>
  <w:style w:styleId="Hyperlink" w:type="character">
    <w:name w:val="Hyperlink"/>
    <w:basedOn w:val="BodyTextChar"/>
    <w:rPr>
      <w:rFonts w:ascii="Cambria" w:cs="Cambria" w:eastAsia="Cambria" w:hAnsi="Cambria"/>
      <w:color w:val="1F6E6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="Cambria" w:cs="Cambria" w:eastAsia="Cambria" w:hAnsi="Cambria"/>
      <w:b w:val="0"/>
      <w:bCs w:val="0"/>
      <w:color w:val="000000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20" Type="http://schemas.openxmlformats.org/officeDocument/2006/relationships/hyperlink" Target="https://emergentfrontiers.com" TargetMode="External"/><Relationship Id="rId34" Type="http://schemas.openxmlformats.org/officeDocument/2006/relationships/hyperlink" Target="https://nhilaw.com/forms/a5-1.html" TargetMode="External"/><Relationship Id="rId21" Type="http://schemas.openxmlformats.org/officeDocument/2006/relationships/hyperlink" Target="https://nhilaw.com/forms/a5-2.html" TargetMode="External"/><Relationship Id="rId27" Type="http://schemas.openxmlformats.org/officeDocument/2006/relationships/hyperlink" Target="https://nhilaw.com/issues/b1.html" TargetMode="External"/><Relationship Id="rId39" Type="http://schemas.openxmlformats.org/officeDocument/2006/relationships/hyperlink" Target="https://nhilaw.com/issues/b4.html" TargetMode="External"/><Relationship Id="rId23" Type="http://schemas.openxmlformats.org/officeDocument/2006/relationships/hyperlink" Target="https://nhilaw.com/issues/e2.html" TargetMode="External"/><Relationship Id="rId32" Type="http://schemas.openxmlformats.org/officeDocument/2006/relationships/hyperlink" Target="https://nhilaw.com/issues/f3.html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notes.xml.rels><?xml version='1.0' encoding='UTF-8' standalone='yes'?>
<Relationships xmlns="http://schemas.openxmlformats.org/package/2006/relationships"><Relationship Id="rId20" Type="http://schemas.openxmlformats.org/officeDocument/2006/relationships/hyperlink" Target="https://emergentfrontiers.com" TargetMode="External"/><Relationship Id="rId34" Type="http://schemas.openxmlformats.org/officeDocument/2006/relationships/hyperlink" Target="https://nhilaw.com/forms/a5-1.html" TargetMode="External"/><Relationship Id="rId21" Type="http://schemas.openxmlformats.org/officeDocument/2006/relationships/hyperlink" Target="https://nhilaw.com/forms/a5-2.html" TargetMode="External"/><Relationship Id="rId27" Type="http://schemas.openxmlformats.org/officeDocument/2006/relationships/hyperlink" Target="https://nhilaw.com/issues/b1.html" TargetMode="External"/><Relationship Id="rId39" Type="http://schemas.openxmlformats.org/officeDocument/2006/relationships/hyperlink" Target="https://nhilaw.com/issues/b4.html" TargetMode="External"/><Relationship Id="rId23" Type="http://schemas.openxmlformats.org/officeDocument/2006/relationships/hyperlink" Target="https://nhilaw.com/issues/e2.html" TargetMode="External"/><Relationship Id="rId32" Type="http://schemas.openxmlformats.org/officeDocument/2006/relationships/hyperlink" Target="https://nhilaw.com/issues/f3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Researching Anomalies Lawfully: Classification, Export Controls, and Academic Freedom in UAP Science</dc:title>
  <dc:creator>nhilaw.com</dc:creator>
  <cp:keywords/>
  <dcterms:created xsi:type="dcterms:W3CDTF">2026-10-19T03:12:13Z</dcterms:created>
  <dcterms:modified xsi:type="dcterms:W3CDTF">2026-10-19T03:12:13Z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Version 1.10 · October 2026 · nhilaw.com/issues/a5.html</vt:lpwstr>
  </property>
</Properties>
</file>