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0" w:name="Xa0d7b70a75f5f7ca1989ac432b2a113284fafc4"/>
    <w:p>
      <w:pPr>
        <w:pStyle w:val="Heading1"/>
      </w:pPr>
      <w:r>
        <w:t xml:space="preserve">Form B1-2. FOIA Administrative Appeal: Inadequate Search, Glomar Response, and Overbroad Withholding</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https://nhilaw.com/forms/b1-2.html</w:t>
      </w:r>
    </w:p>
    <w:p>
      <w:pPr>
        <w:pStyle w:val="BodyText"/>
        <w:spacing w:after="160" w:line="259" w:lineRule="auto"/>
      </w:pPr>
      <w:r>
        <w:rPr>
          <w:bCs/>
          <w:b/>
        </w:rPr>
        <w:t xml:space="preserve">When to use.</w:t>
      </w:r>
      <w:r>
        <w:t xml:space="preserve"> </w:t>
      </w:r>
      <w:r>
        <w:t xml:space="preserve">Appealing an inadequate search, a refusal to confirm or deny, or overbroad withholdings.</w:t>
      </w:r>
      <w:r>
        <w:t xml:space="preserve"> </w:t>
      </w:r>
      <w:r>
        <w:rPr>
          <w:bCs/>
          <w:b/>
        </w:rPr>
        <w:t xml:space="preserve">Not for:</w:t>
      </w:r>
      <w:r>
        <w:t xml:space="preserve"> </w:t>
      </w:r>
      <w:r>
        <w:t xml:space="preserve">A request that has had no determination at all, where suit may be filed without appeal.</w:t>
      </w:r>
    </w:p>
    <w:p>
      <w:pPr>
        <w:pStyle w:val="BodyText"/>
        <w:spacing w:after="160" w:line="259" w:lineRule="auto"/>
      </w:pPr>
      <w:r>
        <w:rPr>
          <w:bCs/>
          <w:b/>
        </w:rPr>
        <w:t xml:space="preserve">Deadlines.</w:t>
      </w:r>
      <w:r>
        <w:t xml:space="preserve"> </w:t>
      </w:r>
      <w:r>
        <w:t xml:space="preserve">File within the agency’s appeal period, which must be at least 90 days after the adverse determination (5 U.S.C. §552(a)(6)(A)(i)(III)(aa)); the agency decides within 20 working days (§552(a)(6)(A)(ii)).</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[Requester name, address, email]</w:t>
      </w:r>
    </w:p>
    <w:p>
      <w:pPr>
        <w:pStyle w:val="BodyText"/>
      </w:pPr>
      <w:r>
        <w:t xml:space="preserve">[Date]</w:t>
      </w:r>
    </w:p>
    <w:p>
      <w:pPr>
        <w:pStyle w:val="BodyText"/>
      </w:pPr>
      <w:r>
        <w:t xml:space="preserve">[Agency FOIA Appeals Officer / Office of Information Policy, as applicable]</w:t>
      </w:r>
      <w:r>
        <w:br/>
      </w:r>
      <w:r>
        <w:t xml:space="preserve">[Address / portal]</w:t>
      </w:r>
    </w:p>
    <w:p>
      <w:pPr>
        <w:pStyle w:val="BodyText"/>
      </w:pPr>
      <w:r>
        <w:rPr>
          <w:bCs/>
          <w:b/>
        </w:rPr>
        <w:t xml:space="preserve">Re: FOIA Appeal, Request No. [__] (unidentified anomalous phenomena records)</w:t>
      </w:r>
    </w:p>
    <w:p>
      <w:pPr>
        <w:pStyle w:val="BodyText"/>
      </w:pPr>
      <w:r>
        <w:t xml:space="preserve">Dear Appeals Officer:</w:t>
      </w:r>
    </w:p>
    <w:p>
      <w:pPr>
        <w:pStyle w:val="BodyText"/>
      </w:pPr>
      <w:r>
        <w:t xml:space="preserve">I appeal the [date] determination on Request No. [__], in which [agency] [state result: found no records</w:t>
      </w:r>
      <w:r>
        <w:t xml:space="preserve"> </w:t>
      </w:r>
      <w:r>
        <w:t xml:space="preserve">/ refused to confirm or deny the existence of records / withheld [number] records in full / released</w:t>
      </w:r>
      <w:r>
        <w:t xml:space="preserve"> </w:t>
      </w:r>
      <w:r>
        <w:t xml:space="preserve">records with redactions]. Copies of the request and determination are attached.</w:t>
      </w:r>
    </w:p>
    <w:p>
      <w:pPr>
        <w:pStyle w:val="BodyText"/>
      </w:pPr>
      <w:r>
        <w:rPr>
          <w:bCs/>
          <w:b/>
        </w:rPr>
        <w:t xml:space="preserve">1. The search was not adequate.</w:t>
      </w:r>
      <w:r>
        <w:t xml:space="preserve"> </w:t>
      </w:r>
      <w:r>
        <w:t xml:space="preserve">An agency must show that its search was</w:t>
      </w:r>
      <w:r>
        <w:t xml:space="preserve"> </w:t>
      </w:r>
      <w:r>
        <w:t xml:space="preserve">“</w:t>
      </w:r>
      <w:r>
        <w:t xml:space="preserve">reasonably calculated to</w:t>
      </w:r>
      <w:r>
        <w:t xml:space="preserve"> </w:t>
      </w:r>
      <w:r>
        <w:t xml:space="preserve">uncover all relevant documents.</w:t>
      </w:r>
      <w:r>
        <w:t xml:space="preserve">”</w:t>
      </w:r>
      <w:r>
        <w:t xml:space="preserve"> </w:t>
      </w:r>
      <w:r>
        <w:rPr>
          <w:iCs/>
          <w:i/>
        </w:rPr>
        <w:t xml:space="preserve">Valencia-Lucena v. U.S. Coast Guard</w:t>
      </w:r>
      <w:r>
        <w:t xml:space="preserve">, 180 F.3d 321, 325 (D.C. Cir.</w:t>
      </w:r>
      <w:r>
        <w:t xml:space="preserve"> </w:t>
      </w:r>
      <w:r>
        <w:t xml:space="preserve">1999). The determination [does not identify the record systems searched / does not state the search</w:t>
      </w:r>
      <w:r>
        <w:t xml:space="preserve"> </w:t>
      </w:r>
      <w:r>
        <w:t xml:space="preserve">terms used / omits obvious terms]. Courts require agencies to use</w:t>
      </w:r>
      <w:r>
        <w:t xml:space="preserve"> </w:t>
      </w:r>
      <w:r>
        <w:t xml:space="preserve">“</w:t>
      </w:r>
      <w:r>
        <w:t xml:space="preserve">obvious synonyms and logical</w:t>
      </w:r>
      <w:r>
        <w:t xml:space="preserve"> </w:t>
      </w:r>
      <w:r>
        <w:t xml:space="preserve">variations,</w:t>
      </w:r>
      <w:r>
        <w:t xml:space="preserve">”</w:t>
      </w:r>
      <w:r>
        <w:t xml:space="preserve"> </w:t>
      </w:r>
      <w:r>
        <w:t xml:space="preserve">including the abbreviations UAP and UFO, and to identify the record systems searched by</w:t>
      </w:r>
      <w:r>
        <w:t xml:space="preserve"> </w:t>
      </w:r>
      <w:r>
        <w:t xml:space="preserve">each component.</w:t>
      </w:r>
      <w:r>
        <w:t xml:space="preserve"> </w:t>
      </w:r>
      <w:r>
        <w:rPr>
          <w:iCs/>
          <w:i/>
        </w:rPr>
        <w:t xml:space="preserve">Slaughter v. Dep’t of the Air Force</w:t>
      </w:r>
      <w:r>
        <w:t xml:space="preserve">, No. 1:24-cv-862-RCL, 2026 WL 571249, at *3-5</w:t>
      </w:r>
      <w:r>
        <w:t xml:space="preserve"> </w:t>
      </w:r>
      <w:r>
        <w:t xml:space="preserve">(D.D.C. Mar. 2, 2026). [Identify specific omitted components, custodians, record systems, terms, and</w:t>
      </w:r>
      <w:r>
        <w:t xml:space="preserve"> </w:t>
      </w:r>
      <w:r>
        <w:t xml:space="preserve">leads, e.g., the unit’s operations and safety offices, AARO, classified email, sensor archives.]</w:t>
      </w:r>
      <w:r>
        <w:t xml:space="preserve"> </w:t>
      </w:r>
      <w:r>
        <w:t xml:space="preserve">Please conduct a new search and describe it.</w:t>
      </w:r>
    </w:p>
    <w:p>
      <w:pPr>
        <w:pStyle w:val="BodyText"/>
      </w:pPr>
      <w:r>
        <w:rPr>
          <w:bCs/>
          <w:b/>
        </w:rPr>
        <w:t xml:space="preserve">2. The Glomar response is improper.</w:t>
      </w:r>
      <w:r>
        <w:t xml:space="preserve"> </w:t>
      </w:r>
      <w:r>
        <w:t xml:space="preserve">[If applicable.] A refusal to confirm or deny is proper only if</w:t>
      </w:r>
      <w:r>
        <w:t xml:space="preserve"> </w:t>
      </w:r>
      <w:r>
        <w:t xml:space="preserve">confirming the existence of records would itself reveal exempt information, and it fails where the</w:t>
      </w:r>
      <w:r>
        <w:t xml:space="preserve"> </w:t>
      </w:r>
      <w:r>
        <w:t xml:space="preserve">existence of records has been officially acknowledged.</w:t>
      </w:r>
      <w:r>
        <w:t xml:space="preserve"> </w:t>
      </w:r>
      <w:r>
        <w:rPr>
          <w:iCs/>
          <w:i/>
        </w:rPr>
        <w:t xml:space="preserve">ACLU v. CIA</w:t>
      </w:r>
      <w:r>
        <w:t xml:space="preserve">, 710 F.3d 422 (D.C. Cir. 2013);</w:t>
      </w:r>
      <w:r>
        <w:t xml:space="preserve"> </w:t>
      </w:r>
      <w:r>
        <w:rPr>
          <w:iCs/>
          <w:i/>
        </w:rPr>
        <w:t xml:space="preserve">Fitzgibbon v. CIA</w:t>
      </w:r>
      <w:r>
        <w:t xml:space="preserve">, 911 F.2d 755, 765 (D.C. Cir. 1990). The following official and documented</w:t>
      </w:r>
      <w:r>
        <w:t xml:space="preserve"> </w:t>
      </w:r>
      <w:r>
        <w:t xml:space="preserve">disclosures establish that [agency] holds responsive records: [list, matched precisely to the request:</w:t>
      </w:r>
      <w:r>
        <w:t xml:space="preserve"> </w:t>
      </w:r>
      <w:r>
        <w:t xml:space="preserve">statute; AARO report and page; sworn testimony of a named official at a named hearing and page; record</w:t>
      </w:r>
      <w:r>
        <w:t xml:space="preserve"> </w:t>
      </w:r>
      <w:r>
        <w:t xml:space="preserve">released by the Department of War or NARA with identifier]. [Note: presidential social-media statements</w:t>
      </w:r>
      <w:r>
        <w:t xml:space="preserve"> </w:t>
      </w:r>
      <w:r>
        <w:t xml:space="preserve">alone have not been treated as official acknowledgment,</w:t>
      </w:r>
      <w:r>
        <w:t xml:space="preserve"> </w:t>
      </w:r>
      <w:r>
        <w:rPr>
          <w:iCs/>
          <w:i/>
        </w:rPr>
        <w:t xml:space="preserve">Leopold v. CIA</w:t>
      </w:r>
      <w:r>
        <w:t xml:space="preserve">, 987 F.3d 163 (D.C. Cir. 2021);</w:t>
      </w:r>
      <w:r>
        <w:t xml:space="preserve"> </w:t>
      </w:r>
      <w:r>
        <w:t xml:space="preserve">rely on more formal disclosures. In the D.C. Circuit, the acknowledgment must come from the agency that received</w:t>
      </w:r>
      <w:r>
        <w:t xml:space="preserve"> </w:t>
      </w:r>
      <w:r>
        <w:t xml:space="preserve">the request; a disclosure by a different agency does not waive this agency’s Glomar response.</w:t>
      </w:r>
      <w:r>
        <w:t xml:space="preserve"> </w:t>
      </w:r>
      <w:r>
        <w:rPr>
          <w:iCs/>
          <w:i/>
        </w:rPr>
        <w:t xml:space="preserve">Knight First</w:t>
      </w:r>
      <w:r>
        <w:rPr>
          <w:iCs/>
          <w:i/>
        </w:rPr>
        <w:t xml:space="preserve"> </w:t>
      </w:r>
      <w:r>
        <w:rPr>
          <w:iCs/>
          <w:i/>
        </w:rPr>
        <w:t xml:space="preserve">Amendment Inst. v. CIA</w:t>
      </w:r>
      <w:r>
        <w:t xml:space="preserve">, 11 F.4th 810, 816 (D.C. Cir. 2021);</w:t>
      </w:r>
      <w:r>
        <w:t xml:space="preserve"> </w:t>
      </w:r>
      <w:r>
        <w:rPr>
          <w:iCs/>
          <w:i/>
        </w:rPr>
        <w:t xml:space="preserve">Connell v. CIA</w:t>
      </w:r>
      <w:r>
        <w:t xml:space="preserve">, 110 F.4th 256, 264, 266 (D.C. Cir.</w:t>
      </w:r>
      <w:r>
        <w:t xml:space="preserve"> </w:t>
      </w:r>
      <w:r>
        <w:t xml:space="preserve">2024). List this agency’s own statements first.] In addition, Congress has legislated specifically on UAP reporting,</w:t>
      </w:r>
      <w:r>
        <w:t xml:space="preserve"> </w:t>
      </w:r>
      <w:r>
        <w:t xml:space="preserve">records, and programs (50 U.S.C. §§3373, 3373b; Pub. L. No. 118-31, §§1687, 1841-1843), so confirming</w:t>
      </w:r>
      <w:r>
        <w:t xml:space="preserve"> </w:t>
      </w:r>
      <w:r>
        <w:t xml:space="preserve">that an agency holds UAP records reveals nothing not already acknowledged by law.</w:t>
      </w:r>
    </w:p>
    <w:p>
      <w:pPr>
        <w:pStyle w:val="BodyText"/>
      </w:pPr>
      <w:r>
        <w:rPr>
          <w:bCs/>
          <w:b/>
        </w:rPr>
        <w:t xml:space="preserve">3. The withholdings are overbroad.</w:t>
      </w:r>
      <w:r>
        <w:t xml:space="preserve"> </w:t>
      </w:r>
      <w:r>
        <w:t xml:space="preserve">[If applicable.] [Agency] withheld [records] in full under</w:t>
      </w:r>
      <w:r>
        <w:t xml:space="preserve"> </w:t>
      </w:r>
      <w:r>
        <w:t xml:space="preserve">Exemption [1/3/5/7]. Please (a) release all reasonably segregable portions, including imagery of the</w:t>
      </w:r>
      <w:r>
        <w:t xml:space="preserve"> </w:t>
      </w:r>
      <w:r>
        <w:t xml:space="preserve">object with sensor overlays and platform data redacted; (b) identify the specific executive order</w:t>
      </w:r>
      <w:r>
        <w:t xml:space="preserve"> </w:t>
      </w:r>
      <w:r>
        <w:t xml:space="preserve">category and harm for each Exemption 1 withholding; (c) identify the specific statute for each Exemption</w:t>
      </w:r>
      <w:r>
        <w:t xml:space="preserve"> </w:t>
      </w:r>
      <w:r>
        <w:t xml:space="preserve">3 withholding; and (d) for Exemption 5, explain whether the record reflects a final assessment or</w:t>
      </w:r>
      <w:r>
        <w:t xml:space="preserve"> </w:t>
      </w:r>
      <w:r>
        <w:t xml:space="preserve">resolution of the event, which is not predecisional.</w:t>
      </w:r>
    </w:p>
    <w:p>
      <w:pPr>
        <w:pStyle w:val="BodyText"/>
      </w:pPr>
      <w:r>
        <w:rPr>
          <w:bCs/>
          <w:b/>
        </w:rPr>
        <w:t xml:space="preserve">3A. Foreseeable harm.</w:t>
      </w:r>
      <w:r>
        <w:t xml:space="preserve"> </w:t>
      </w:r>
      <w:r>
        <w:t xml:space="preserve">For each withholding under Exemption 5 and any other exemption that does not rest on a</w:t>
      </w:r>
      <w:r>
        <w:t xml:space="preserve"> </w:t>
      </w:r>
      <w:r>
        <w:t xml:space="preserve">statute barring disclosure, the agency must show that it</w:t>
      </w:r>
      <w:r>
        <w:t xml:space="preserve"> </w:t>
      </w:r>
      <w:r>
        <w:t xml:space="preserve">“</w:t>
      </w:r>
      <w:r>
        <w:t xml:space="preserve">reasonably foresees that disclosure would harm an</w:t>
      </w:r>
      <w:r>
        <w:t xml:space="preserve"> </w:t>
      </w:r>
      <w:r>
        <w:t xml:space="preserve">interest protected by an exemption.</w:t>
      </w:r>
      <w:r>
        <w:t xml:space="preserve">”</w:t>
      </w:r>
      <w:r>
        <w:t xml:space="preserve"> </w:t>
      </w:r>
      <w:r>
        <w:t xml:space="preserve">5 U.S.C. §552(a)(8)(A)(i). A general statement that release would chill</w:t>
      </w:r>
      <w:r>
        <w:t xml:space="preserve"> </w:t>
      </w:r>
      <w:r>
        <w:t xml:space="preserve">internal deliberations is not enough; the agency must explain how disclosure of the particular material would cause</w:t>
      </w:r>
      <w:r>
        <w:t xml:space="preserve"> </w:t>
      </w:r>
      <w:r>
        <w:t xml:space="preserve">that harm.</w:t>
      </w:r>
      <w:r>
        <w:t xml:space="preserve"> </w:t>
      </w:r>
      <w:r>
        <w:rPr>
          <w:iCs/>
          <w:i/>
        </w:rPr>
        <w:t xml:space="preserve">Reporters Comm. for Freedom of the Press v. FBI</w:t>
      </w:r>
      <w:r>
        <w:t xml:space="preserve">, 3 F.4th 350, 369-70 (D.C. Cir. 2021). Assessments</w:t>
      </w:r>
      <w:r>
        <w:t xml:space="preserve"> </w:t>
      </w:r>
      <w:r>
        <w:t xml:space="preserve">of a UAP event that are years old, or that concern a phenomenon the government has acknowledged studying, are</w:t>
      </w:r>
      <w:r>
        <w:t xml:space="preserve"> </w:t>
      </w:r>
      <w:r>
        <w:t xml:space="preserve">unlikely to meet that standard.</w:t>
      </w:r>
    </w:p>
    <w:p>
      <w:pPr>
        <w:pStyle w:val="BodyText"/>
      </w:pPr>
      <w:r>
        <w:rPr>
          <w:bCs/>
          <w:b/>
        </w:rPr>
        <w:t xml:space="preserve">4. UAP Records Collection.</w:t>
      </w:r>
      <w:r>
        <w:t xml:space="preserve"> </w:t>
      </w:r>
      <w:r>
        <w:t xml:space="preserve">Records responsive to this request are also</w:t>
      </w:r>
      <w:r>
        <w:t xml:space="preserve"> </w:t>
      </w:r>
      <w:r>
        <w:t xml:space="preserve">“</w:t>
      </w:r>
      <w:r>
        <w:t xml:space="preserve">unidentified anomalous</w:t>
      </w:r>
      <w:r>
        <w:t xml:space="preserve"> </w:t>
      </w:r>
      <w:r>
        <w:t xml:space="preserve">phenomena records</w:t>
      </w:r>
      <w:r>
        <w:t xml:space="preserve">”</w:t>
      </w:r>
      <w:r>
        <w:t xml:space="preserve"> </w:t>
      </w:r>
      <w:r>
        <w:t xml:space="preserve">under Pub. L. No. 118-31, §1841(a)(1)(C). Please state whether they have been</w:t>
      </w:r>
      <w:r>
        <w:t xml:space="preserve"> </w:t>
      </w:r>
      <w:r>
        <w:t xml:space="preserve">transmitted to the UAP Records Collection at the National Archives and, if their disclosure has been</w:t>
      </w:r>
      <w:r>
        <w:t xml:space="preserve"> </w:t>
      </w:r>
      <w:r>
        <w:t xml:space="preserve">postponed, the ground found under §1843(a) and the Federal Register citation required by §1842(g)(2)(B).</w:t>
      </w:r>
      <w:r>
        <w:t xml:space="preserve"> </w:t>
      </w:r>
      <w:r>
        <w:t xml:space="preserve">Records created outside the federal government may not be withheld or redacted except for protected</w:t>
      </w:r>
      <w:r>
        <w:t xml:space="preserve"> </w:t>
      </w:r>
      <w:r>
        <w:t xml:space="preserve">names. §1842(a)(2)(C).</w:t>
      </w:r>
    </w:p>
    <w:p>
      <w:pPr>
        <w:pStyle w:val="BodyText"/>
      </w:pPr>
      <w:r>
        <w:rPr>
          <w:bCs/>
          <w:b/>
        </w:rPr>
        <w:t xml:space="preserve">Relief requested.</w:t>
      </w:r>
      <w:r>
        <w:t xml:space="preserve"> </w:t>
      </w:r>
      <w:r>
        <w:t xml:space="preserve">Please remand for a new search, withdraw the Glomar response, release segregable</w:t>
      </w:r>
      <w:r>
        <w:t xml:space="preserve"> </w:t>
      </w:r>
      <w:r>
        <w:t xml:space="preserve">material, and provide the information requested in part 4.</w:t>
      </w:r>
    </w:p>
    <w:p>
      <w:pPr>
        <w:pStyle w:val="BodyText"/>
      </w:pPr>
      <w:r>
        <w:rPr>
          <w:bCs/>
          <w:b/>
        </w:rPr>
        <w:t xml:space="preserve">Reservation.</w:t>
      </w:r>
      <w:r>
        <w:t xml:space="preserve"> </w:t>
      </w:r>
      <w:r>
        <w:t xml:space="preserve">[If the agency has a record of delay or blanket denials on UAP requests:] This is [number] of</w:t>
      </w:r>
      <w:r>
        <w:t xml:space="preserve"> </w:t>
      </w:r>
      <w:r>
        <w:t xml:space="preserve">[number] UAP-related requests by [requester] to [agency] since [year] that have been [denied in full / answered</w:t>
      </w:r>
      <w:r>
        <w:t xml:space="preserve"> </w:t>
      </w:r>
      <w:r>
        <w:t xml:space="preserve">with a refusal to confirm or deny / left without a determination past the statutory deadline]. [Requester] reserves</w:t>
      </w:r>
      <w:r>
        <w:t xml:space="preserve"> </w:t>
      </w:r>
      <w:r>
        <w:t xml:space="preserve">the right to seek relief from that policy or practice in addition to relief on this request.</w:t>
      </w:r>
      <w:r>
        <w:t xml:space="preserve"> </w:t>
      </w:r>
      <w:r>
        <w:rPr>
          <w:iCs/>
          <w:i/>
        </w:rPr>
        <w:t xml:space="preserve">See Payne</w:t>
      </w:r>
      <w:r>
        <w:rPr>
          <w:iCs/>
          <w:i/>
        </w:rPr>
        <w:t xml:space="preserve"> </w:t>
      </w:r>
      <w:r>
        <w:rPr>
          <w:iCs/>
          <w:i/>
        </w:rPr>
        <w:t xml:space="preserve">Enterprises, Inc. v. United States</w:t>
      </w:r>
      <w:r>
        <w:t xml:space="preserve">, 837 F.2d 486 (D.C. Cir. 1988). If this appeal is denied, [requester] may seek</w:t>
      </w:r>
      <w:r>
        <w:t xml:space="preserve"> </w:t>
      </w:r>
      <w:r>
        <w:t xml:space="preserve">mediation through the Office of Government Information Services (5 U.S.C. §552(h)(3)) or file suit.</w:t>
      </w:r>
    </w:p>
    <w:p>
      <w:pPr>
        <w:pStyle w:val="BodyText"/>
      </w:pPr>
      <w:r>
        <w:t xml:space="preserve">Sincerely,</w:t>
      </w:r>
      <w:r>
        <w:br/>
      </w:r>
      <w:r>
        <w:t xml:space="preserve">[Name]</w:t>
      </w:r>
    </w:p>
    <w:bookmarkEnd w:id="2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B1-2. FOIA Administrative Appeal: Inadequate Search, Glomar Response, and Overbroad Withholding</dc:title>
  <dc:creator>nhilaw.com</dc:creator>
  <cp:keywords/>
  <dcterms:created xsi:type="dcterms:W3CDTF">2026-10-19T03:12:30Z</dcterms:created>
  <dcterms:modified xsi:type="dcterms:W3CDTF">2026-10-19T03:12:30Z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