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UAP Records: FOIA, Mandatory Declassification Review, the Records Collection, and State Law</w:t>
      </w:r>
    </w:p>
    <w:p>
      <w:pPr>
        <w:pStyle w:val="Subtitle"/>
      </w:pPr>
      <w:r>
        <w:t xml:space="preserve">Version 1.10 · October 2026 · nhilaw.com/issues/b1.html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Use five routes together: FOIA, mandatory declassification review, the UAP Records Collection, public releases (PURSUE, NARA RG 615, reading rooms), and state public-records laws.</w:t>
      </w:r>
    </w:p>
    <w:p>
      <w:pPr>
        <w:pStyle w:val="Compact"/>
        <w:numPr>
          <w:ilvl w:val="0"/>
          <w:numId w:val="1001"/>
        </w:numPr>
      </w:pPr>
      <w:r>
        <w:t xml:space="preserve">Name every synonym (UAP, UFO and variants), every component, and every record system, and ask the agency to state the terms and systems it searched (</w:t>
      </w:r>
      <w:r>
        <w:rPr>
          <w:iCs/>
          <w:i/>
        </w:rPr>
        <w:t xml:space="preserve">Slaughter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Official acknowledgment must come from the agency that received the request (</w:t>
      </w:r>
      <w:r>
        <w:rPr>
          <w:iCs/>
          <w:i/>
        </w:rPr>
        <w:t xml:space="preserve">Knight</w:t>
      </w:r>
      <w:r>
        <w:t xml:space="preserve">;</w:t>
      </w:r>
      <w:r>
        <w:t xml:space="preserve"> </w:t>
      </w:r>
      <w:r>
        <w:rPr>
          <w:iCs/>
          <w:i/>
        </w:rPr>
        <w:t xml:space="preserve">Connell</w:t>
      </w:r>
      <w:r>
        <w:t xml:space="preserve">). Books and interviews by former officials, including a former UAP Task Force director, do not count (</w:t>
      </w:r>
      <w:r>
        <w:rPr>
          <w:iCs/>
          <w:i/>
        </w:rPr>
        <w:t xml:space="preserve">Wilson v. CIA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Discretionary withholdings, especially under Exemption 5, must meet the foreseeable-harm standard (§552(a)(8);</w:t>
      </w:r>
      <w:r>
        <w:t xml:space="preserve"> </w:t>
      </w:r>
      <w:r>
        <w:rPr>
          <w:iCs/>
          <w:i/>
        </w:rPr>
        <w:t xml:space="preserve">Reporters Committee v. FBI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Treat AARO’s denials and case resolutions as findings to be tested: request the files behind them.</w:t>
      </w:r>
    </w:p>
    <w:p>
      <w:pPr>
        <w:pStyle w:val="Compact"/>
        <w:numPr>
          <w:ilvl w:val="0"/>
          <w:numId w:val="1001"/>
        </w:numPr>
      </w:pPr>
      <w:r>
        <w:t xml:space="preserve">Repeated delay or refusal can support a policy-or-practice claim (</w:t>
      </w:r>
      <w:r>
        <w:rPr>
          <w:iCs/>
          <w:i/>
        </w:rPr>
        <w:t xml:space="preserve">Payne Enterprises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1"/>
    <w:bookmarkStart w:id="25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A practitioner seeking UAP records has five routes, best used together: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FOIA</w:t>
      </w:r>
      <w:r>
        <w:t xml:space="preserve"> </w:t>
      </w:r>
      <w:r>
        <w:t xml:space="preserve">(5 U.S.C. §552): an express cause of action and de novo review, limited by Exemption 1</w:t>
      </w:r>
      <w:r>
        <w:t xml:space="preserve"> </w:t>
      </w:r>
      <w:r>
        <w:t xml:space="preserve">(classified), Exemption 3 (statutes such as 50 U.S.C. §3024(i) for intelligence sources and methods,</w:t>
      </w:r>
      <w:r>
        <w:t xml:space="preserve"> </w:t>
      </w:r>
      <w:r>
        <w:t xml:space="preserve">10 U.S.C. §130 for technical data, and 42 U.S.C. §2162 for Restricted Data), Exemption 5</w:t>
      </w:r>
      <w:r>
        <w:t xml:space="preserve"> </w:t>
      </w:r>
      <w:r>
        <w:t xml:space="preserve">(deliberative), and the Glomar response.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Mandatory declassification review</w:t>
      </w:r>
      <w:r>
        <w:t xml:space="preserve"> </w:t>
      </w:r>
      <w:r>
        <w:t xml:space="preserve">(EO 13526 §3.5): reaches classified records by description,</w:t>
      </w:r>
      <w:r>
        <w:t xml:space="preserve"> </w:t>
      </w:r>
      <w:r>
        <w:t xml:space="preserve">with appeal to the Interagency Security Classification Appeals Panel (ISCAP), and no judicial review.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The UAP Records Collection</w:t>
      </w:r>
      <w:r>
        <w:t xml:space="preserve"> </w:t>
      </w:r>
      <w:r>
        <w:t xml:space="preserve">(FY2024 NDAA §§1841-1843): transmission duties, a clear-and-convincing</w:t>
      </w:r>
      <w:r>
        <w:t xml:space="preserve"> </w:t>
      </w:r>
      <w:r>
        <w:t xml:space="preserve">standard for postponement, Federal Register reasons, and a 25-year limit; enforceable, if at all,</w:t>
      </w:r>
      <w:r>
        <w:t xml:space="preserve"> </w:t>
      </w:r>
      <w:r>
        <w:t xml:space="preserve">through the APA (</w:t>
      </w:r>
      <w:hyperlink r:id="rId22">
        <w:r>
          <w:rPr>
            <w:rStyle w:val="Hyperlink"/>
          </w:rPr>
          <w:t xml:space="preserve">Issue A3</w:t>
        </w:r>
      </w:hyperlink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Form A3-1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Releases and reading rooms</w:t>
      </w:r>
      <w:r>
        <w:t xml:space="preserve">: PURSUE tranches at war.gov/ufo, NARA Record Group 615, the DoD FOIA</w:t>
      </w:r>
      <w:r>
        <w:t xml:space="preserve"> </w:t>
      </w:r>
      <w:r>
        <w:t xml:space="preserve">reading room’s UFO/UAP page, AARO’s website, the FBI Vault, and the CIA and NSA reading rooms.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State public-records laws</w:t>
      </w:r>
      <w:r>
        <w:t xml:space="preserve"> </w:t>
      </w:r>
      <w:r>
        <w:t xml:space="preserve">for state and local records (</w:t>
      </w:r>
      <w:hyperlink r:id="rId24">
        <w:r>
          <w:rPr>
            <w:rStyle w:val="Hyperlink"/>
          </w:rPr>
          <w:t xml:space="preserve">Form A4-2</w:t>
        </w:r>
      </w:hyperlink>
      <w:r>
        <w:t xml:space="preserve">).</w:t>
      </w:r>
    </w:p>
    <w:p>
      <w:pPr>
        <w:pStyle w:val="FirstParagraph"/>
      </w:pPr>
      <w:r>
        <w:t xml:space="preserve">Recent case law sets three practical rules. First, courts will scrutinize UAP searches closely: in</w:t>
      </w:r>
      <w:r>
        <w:t xml:space="preserve"> </w:t>
      </w:r>
      <w:r>
        <w:rPr>
          <w:iCs/>
          <w:i/>
        </w:rPr>
        <w:t xml:space="preserve">Slaughter v. Department of the Air Force</w:t>
      </w:r>
      <w:r>
        <w:t xml:space="preserve">, 2026 WL 571249 (D.D.C. Mar. 2, 2026), Judge Lamberth held</w:t>
      </w:r>
      <w:r>
        <w:t xml:space="preserve"> </w:t>
      </w:r>
      <w:r>
        <w:t xml:space="preserve">search declarations inadequate because they omitted the terms</w:t>
      </w:r>
      <w:r>
        <w:t xml:space="preserve"> </w:t>
      </w:r>
      <w:r>
        <w:t xml:space="preserve">“</w:t>
      </w:r>
      <w:r>
        <w:t xml:space="preserve">UAP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UFO,</w:t>
      </w:r>
      <w:r>
        <w:t xml:space="preserve">”</w:t>
      </w:r>
      <w:r>
        <w:t xml:space="preserve"> </w:t>
      </w:r>
      <w:r>
        <w:t xml:space="preserve">did not identify the</w:t>
      </w:r>
      <w:r>
        <w:t xml:space="preserve"> </w:t>
      </w:r>
      <w:r>
        <w:t xml:space="preserve">record systems searched, and did not follow an obvious lead. Second, official acknowledgment overcomes</w:t>
      </w:r>
      <w:r>
        <w:t xml:space="preserve"> </w:t>
      </w:r>
      <w:r>
        <w:t xml:space="preserve">a Glomar response only when the prior disclosure is official, specific, and matching; presidential</w:t>
      </w:r>
      <w:r>
        <w:t xml:space="preserve"> </w:t>
      </w:r>
      <w:r>
        <w:t xml:space="preserve">social-media statements have not qualified.</w:t>
      </w:r>
      <w:r>
        <w:t xml:space="preserve"> </w:t>
      </w:r>
      <w:r>
        <w:rPr>
          <w:iCs/>
          <w:i/>
        </w:rPr>
        <w:t xml:space="preserve">Leopold v. CIA</w:t>
      </w:r>
      <w:r>
        <w:t xml:space="preserve">, 987 F.3d 163 (D.C. Cir. 2021);</w:t>
      </w:r>
      <w:r>
        <w:t xml:space="preserve"> </w:t>
      </w:r>
      <w:r>
        <w:rPr>
          <w:iCs/>
          <w:i/>
        </w:rPr>
        <w:t xml:space="preserve">New York</w:t>
      </w:r>
      <w:r>
        <w:rPr>
          <w:iCs/>
          <w:i/>
        </w:rPr>
        <w:t xml:space="preserve"> </w:t>
      </w:r>
      <w:r>
        <w:rPr>
          <w:iCs/>
          <w:i/>
        </w:rPr>
        <w:t xml:space="preserve">Times Co. v. CIA</w:t>
      </w:r>
      <w:r>
        <w:t xml:space="preserve">, 965 F.3d 109 (2d Cir. 2020). Third, UAP FOIA litigation has historically produced little</w:t>
      </w:r>
      <w:r>
        <w:t xml:space="preserve"> </w:t>
      </w:r>
      <w:r>
        <w:t xml:space="preserve">when the records are intelligence products (</w:t>
      </w:r>
      <w:r>
        <w:rPr>
          <w:iCs/>
          <w:i/>
        </w:rPr>
        <w:t xml:space="preserve">Citizens Against UFO Secrecy v. NSA</w:t>
      </w:r>
      <w:r>
        <w:t xml:space="preserve">, 1980-82), and fees may</w:t>
      </w:r>
      <w:r>
        <w:t xml:space="preserve"> </w:t>
      </w:r>
      <w:r>
        <w:t xml:space="preserve">be denied where the records obtained are few (</w:t>
      </w:r>
      <w:r>
        <w:rPr>
          <w:iCs/>
          <w:i/>
        </w:rPr>
        <w:t xml:space="preserve">Bryant v. CIA</w:t>
      </w:r>
      <w:r>
        <w:t xml:space="preserve">, 818 F. Supp. 2d 153 (D.D.C. 2011)).</w:t>
      </w:r>
    </w:p>
    <w:p>
      <w:r>
        <w:pict>
          <v:rect style="width:0;height:1.5pt" o:hralign="center" o:hrstd="t" o:hr="t"/>
        </w:pict>
      </w:r>
    </w:p>
    <w:bookmarkEnd w:id="25"/>
    <w:bookmarkStart w:id="35" w:name="foia"/>
    <w:p>
      <w:pPr>
        <w:pStyle w:val="Heading2"/>
      </w:pPr>
      <w:r>
        <w:t xml:space="preserve">2. FOIA</w:t>
      </w:r>
    </w:p>
    <w:bookmarkStart w:id="26" w:name="framing-the-request"/>
    <w:p>
      <w:pPr>
        <w:pStyle w:val="Heading3"/>
      </w:pPr>
      <w:r>
        <w:t xml:space="preserve">2.1 Framing the request</w:t>
      </w:r>
    </w:p>
    <w:p>
      <w:pPr>
        <w:pStyle w:val="FirstParagraph"/>
      </w:pPr>
      <w:r>
        <w:t xml:space="preserve">Agencies reject UAP requests that do not</w:t>
      </w:r>
      <w:r>
        <w:t xml:space="preserve"> </w:t>
      </w:r>
      <w:r>
        <w:t xml:space="preserve">“</w:t>
      </w:r>
      <w:r>
        <w:t xml:space="preserve">reasonably describe</w:t>
      </w:r>
      <w:r>
        <w:t xml:space="preserve">”</w:t>
      </w:r>
      <w:r>
        <w:t xml:space="preserve"> </w:t>
      </w:r>
      <w:r>
        <w:t xml:space="preserve">records. 5 U.S.C. §552(a)(3)(A). Agency</w:t>
      </w:r>
      <w:r>
        <w:t xml:space="preserve"> </w:t>
      </w:r>
      <w:r>
        <w:t xml:space="preserve">correspondence published by The Black Vault, a private FOIA archive, shows agencies returning broad UAP requests for clarification and asking for</w:t>
      </w:r>
      <w:r>
        <w:t xml:space="preserve"> </w:t>
      </w:r>
      <w:r>
        <w:t xml:space="preserve">document type, title, subject, date, originator, or event details. Effective requests:</w:t>
      </w:r>
    </w:p>
    <w:p>
      <w:pPr>
        <w:pStyle w:val="Compact"/>
        <w:numPr>
          <w:ilvl w:val="0"/>
          <w:numId w:val="1003"/>
        </w:numPr>
      </w:pPr>
      <w:r>
        <w:t xml:space="preserve">identify a specific event (date, location, unit, platform), a specific record (title, number,</w:t>
      </w:r>
      <w:r>
        <w:t xml:space="preserve"> </w:t>
      </w:r>
      <w:r>
        <w:t xml:space="preserve">originator), or a specific case number from AARO’s published case index;</w:t>
      </w:r>
    </w:p>
    <w:p>
      <w:pPr>
        <w:pStyle w:val="Compact"/>
        <w:numPr>
          <w:ilvl w:val="0"/>
          <w:numId w:val="1003"/>
        </w:numPr>
      </w:pPr>
      <w:r>
        <w:t xml:space="preserve">list synonyms expressly (UAP, UFO, unidentified aerial/anomalous phenomena, unidentified object, UAS of</w:t>
      </w:r>
      <w:r>
        <w:t xml:space="preserve"> </w:t>
      </w:r>
      <w:r>
        <w:t xml:space="preserve">unknown origin, orb, tic tac, transmedium) and program names that have been publicly reported;</w:t>
      </w:r>
    </w:p>
    <w:p>
      <w:pPr>
        <w:pStyle w:val="Compact"/>
        <w:numPr>
          <w:ilvl w:val="0"/>
          <w:numId w:val="1003"/>
        </w:numPr>
      </w:pPr>
      <w:r>
        <w:t xml:space="preserve">name components and record systems (email, classified networks, SAP repositories, operational logs,</w:t>
      </w:r>
      <w:r>
        <w:t xml:space="preserve"> </w:t>
      </w:r>
      <w:r>
        <w:t xml:space="preserve">sensor archives);</w:t>
      </w:r>
    </w:p>
    <w:p>
      <w:pPr>
        <w:pStyle w:val="Compact"/>
        <w:numPr>
          <w:ilvl w:val="0"/>
          <w:numId w:val="1003"/>
        </w:numPr>
      </w:pPr>
      <w:r>
        <w:t xml:space="preserve">ask the agency to identify the search terms and record systems used, which supports a later challenge</w:t>
      </w:r>
      <w:r>
        <w:t xml:space="preserve"> </w:t>
      </w:r>
      <w:r>
        <w:t xml:space="preserve">under</w:t>
      </w:r>
      <w:r>
        <w:t xml:space="preserve"> </w:t>
      </w:r>
      <w:r>
        <w:rPr>
          <w:iCs/>
          <w:i/>
        </w:rPr>
        <w:t xml:space="preserve">Slaughter</w:t>
      </w:r>
      <w:r>
        <w:t xml:space="preserve">; and</w:t>
      </w:r>
    </w:p>
    <w:p>
      <w:pPr>
        <w:pStyle w:val="Compact"/>
        <w:numPr>
          <w:ilvl w:val="0"/>
          <w:numId w:val="1003"/>
        </w:numPr>
      </w:pPr>
      <w:r>
        <w:t xml:space="preserve">for military events since May 2023, ask for records by the record types the Joint Staff reporting order</w:t>
      </w:r>
      <w:r>
        <w:t xml:space="preserve"> </w:t>
      </w:r>
      <w:r>
        <w:t xml:space="preserve">creates: the incident, incursion, or engagement report; the</w:t>
      </w:r>
      <w:r>
        <w:t xml:space="preserve"> </w:t>
      </w:r>
      <w:r>
        <w:t xml:space="preserve">“</w:t>
      </w:r>
      <w:r>
        <w:t xml:space="preserve">reporting organization UAP-event serial</w:t>
      </w:r>
      <w:r>
        <w:t xml:space="preserve"> </w:t>
      </w:r>
      <w:r>
        <w:t xml:space="preserve">number</w:t>
      </w:r>
      <w:r>
        <w:t xml:space="preserve">”</w:t>
      </w:r>
      <w:r>
        <w:t xml:space="preserve"> </w:t>
      </w:r>
      <w:r>
        <w:t xml:space="preserve">(format CCMD-date-sequence); the data-transfer and material-transfer documentation; and the</w:t>
      </w:r>
      <w:r>
        <w:t xml:space="preserve"> </w:t>
      </w:r>
      <w:r>
        <w:t xml:space="preserve">counterintelligence notification. Joint Staff J3 GENADMIN,</w:t>
      </w:r>
      <w:r>
        <w:t xml:space="preserve"> </w:t>
      </w:r>
      <w:r>
        <w:t xml:space="preserve">“</w:t>
      </w:r>
      <w:r>
        <w:t xml:space="preserve">Unidentified Anomalous Phenomena Reporting and Material Disposition,</w:t>
      </w:r>
      <w:r>
        <w:t xml:space="preserve">”</w:t>
      </w:r>
      <w:r>
        <w:t xml:space="preserve"> </w:t>
      </w:r>
      <w:r>
        <w:t xml:space="preserve">DTG 191452Z May 2023, released under FOIA as DoD 24-F-0067.</w:t>
      </w:r>
    </w:p>
    <w:bookmarkEnd w:id="26"/>
    <w:bookmarkStart w:id="27" w:name="adequacy-of-search"/>
    <w:p>
      <w:pPr>
        <w:pStyle w:val="Heading3"/>
      </w:pPr>
      <w:r>
        <w:t xml:space="preserve">2.2 Adequacy of search</w:t>
      </w:r>
    </w:p>
    <w:p>
      <w:pPr>
        <w:pStyle w:val="FirstParagraph"/>
      </w:pPr>
      <w:r>
        <w:t xml:space="preserve">The agency must show</w:t>
      </w:r>
      <w:r>
        <w:t xml:space="preserve"> </w:t>
      </w:r>
      <w:r>
        <w:t xml:space="preserve">“</w:t>
      </w:r>
      <w:r>
        <w:t xml:space="preserve">beyond material doubt</w:t>
      </w:r>
      <w:r>
        <w:t xml:space="preserve">”</w:t>
      </w:r>
      <w:r>
        <w:t xml:space="preserve"> </w:t>
      </w:r>
      <w:r>
        <w:t xml:space="preserve">that its search was</w:t>
      </w:r>
      <w:r>
        <w:t xml:space="preserve"> </w:t>
      </w:r>
      <w:r>
        <w:t xml:space="preserve">“</w:t>
      </w:r>
      <w:r>
        <w:t xml:space="preserve">reasonably calculated to uncover all</w:t>
      </w:r>
      <w:r>
        <w:t xml:space="preserve"> </w:t>
      </w:r>
      <w:r>
        <w:t xml:space="preserve">relevant documents,</w:t>
      </w:r>
      <w:r>
        <w:t xml:space="preserve">”</w:t>
      </w:r>
      <w:r>
        <w:t xml:space="preserve"> </w:t>
      </w:r>
      <w:r>
        <w:t xml:space="preserve">with declarations that are reasonably detailed and non-conclusory.</w:t>
      </w:r>
      <w:r>
        <w:t xml:space="preserve"> </w:t>
      </w:r>
      <w:r>
        <w:rPr>
          <w:iCs/>
          <w:i/>
        </w:rPr>
        <w:t xml:space="preserve">Valencia-Lucena</w:t>
      </w:r>
      <w:r>
        <w:rPr>
          <w:iCs/>
          <w:i/>
        </w:rPr>
        <w:t xml:space="preserve"> </w:t>
      </w:r>
      <w:r>
        <w:rPr>
          <w:iCs/>
          <w:i/>
        </w:rPr>
        <w:t xml:space="preserve">v. U.S. Coast Guard</w:t>
      </w:r>
      <w:r>
        <w:t xml:space="preserve">, 180 F.3d 321, 325 (D.C. Cir. 1999). In</w:t>
      </w:r>
      <w:r>
        <w:t xml:space="preserve"> </w:t>
      </w:r>
      <w:r>
        <w:rPr>
          <w:iCs/>
          <w:i/>
        </w:rPr>
        <w:t xml:space="preserve">Slaughter</w:t>
      </w:r>
      <w:r>
        <w:t xml:space="preserve">, the Air Force’s declarations</w:t>
      </w:r>
      <w:r>
        <w:t xml:space="preserve"> </w:t>
      </w:r>
      <w:r>
        <w:t xml:space="preserve">failed because they did not identify the record systems searched by units other than NASIC’s UAP team;</w:t>
      </w:r>
      <w:r>
        <w:t xml:space="preserve"> </w:t>
      </w:r>
      <w:r>
        <w:t xml:space="preserve">listed</w:t>
      </w:r>
      <w:r>
        <w:t xml:space="preserve"> </w:t>
      </w:r>
      <w:r>
        <w:t xml:space="preserve">“</w:t>
      </w:r>
      <w:r>
        <w:t xml:space="preserve">common search terms</w:t>
      </w:r>
      <w:r>
        <w:t xml:space="preserve">”</w:t>
      </w:r>
      <w:r>
        <w:t xml:space="preserve"> </w:t>
      </w:r>
      <w:r>
        <w:t xml:space="preserve">rather than the terms actually used; omitted the</w:t>
      </w:r>
      <w:r>
        <w:t xml:space="preserve"> </w:t>
      </w:r>
      <w:r>
        <w:t xml:space="preserve">“</w:t>
      </w:r>
      <w:r>
        <w:t xml:space="preserve">obvious synonyms and</w:t>
      </w:r>
      <w:r>
        <w:t xml:space="preserve"> </w:t>
      </w:r>
      <w:r>
        <w:t xml:space="preserve">logical variations</w:t>
      </w:r>
      <w:r>
        <w:t xml:space="preserve">”</w:t>
      </w:r>
      <w:r>
        <w:t xml:space="preserve"> </w:t>
      </w:r>
      <w:r>
        <w:t xml:space="preserve">UAP and UFO (citing</w:t>
      </w:r>
      <w:r>
        <w:t xml:space="preserve"> </w:t>
      </w:r>
      <w:r>
        <w:rPr>
          <w:iCs/>
          <w:i/>
        </w:rPr>
        <w:t xml:space="preserve">Judicial Watch, Inc. v. DOJ</w:t>
      </w:r>
      <w:r>
        <w:t xml:space="preserve">, 373 F. Supp. 3d 120, 125 (D.D.C.</w:t>
      </w:r>
      <w:r>
        <w:t xml:space="preserve"> </w:t>
      </w:r>
      <w:r>
        <w:t xml:space="preserve">2019)); and did not explain why an individual who found a non-responsive UAP video was not asked about</w:t>
      </w:r>
      <w:r>
        <w:t xml:space="preserve"> </w:t>
      </w:r>
      <w:r>
        <w:t xml:space="preserve">other records. 2026 WL 571249, at</w:t>
      </w:r>
      <w:r>
        <w:t xml:space="preserve"> </w:t>
      </w:r>
      <w:r>
        <w:rPr>
          <w:iCs/>
          <w:i/>
        </w:rPr>
        <w:t xml:space="preserve">3-5. The opinion also records that NASIC’s UAP team operated from June</w:t>
      </w:r>
      <w:r>
        <w:rPr>
          <w:iCs/>
          <w:i/>
        </w:rPr>
        <w:t xml:space="preserve"> </w:t>
      </w:r>
      <w:r>
        <w:rPr>
          <w:iCs/>
          <w:i/>
        </w:rPr>
        <w:t xml:space="preserve">2021 to April 2023 and was then disbanded, and that SOCOM declassified and released a video of a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metallic-looking spherical object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after the litigation began.</w:t>
      </w:r>
      <w:r>
        <w:rPr>
          <w:iCs/>
          <w:i/>
        </w:rPr>
        <w:t xml:space="preserve"> </w:t>
      </w:r>
      <w:r>
        <w:t xml:space="preserve">Lindsey v. NSA/CSS*, 915 F.2d 1565 (4th</w:t>
      </w:r>
      <w:r>
        <w:t xml:space="preserve"> </w:t>
      </w:r>
      <w:r>
        <w:t xml:space="preserve">Cir. 1990) (table), similarly vacated summary judgment where the agency affidavit did not describe its</w:t>
      </w:r>
      <w:r>
        <w:t xml:space="preserve"> </w:t>
      </w:r>
      <w:r>
        <w:t xml:space="preserve">search.</w:t>
      </w:r>
    </w:p>
    <w:bookmarkEnd w:id="27"/>
    <w:bookmarkStart w:id="28" w:name="timing-tracking-and-expedited-processing"/>
    <w:p>
      <w:pPr>
        <w:pStyle w:val="Heading3"/>
      </w:pPr>
      <w:r>
        <w:t xml:space="preserve">2.3 Timing, tracking, and expedited processing</w:t>
      </w:r>
    </w:p>
    <w:p>
      <w:pPr>
        <w:pStyle w:val="FirstParagraph"/>
      </w:pPr>
      <w:r>
        <w:t xml:space="preserve">An agency must tell a requester, on request, the date it received the request and</w:t>
      </w:r>
      <w:r>
        <w:t xml:space="preserve"> </w:t>
      </w:r>
      <w:r>
        <w:t xml:space="preserve">“</w:t>
      </w:r>
      <w:r>
        <w:t xml:space="preserve">an estimated date on which the</w:t>
      </w:r>
      <w:r>
        <w:t xml:space="preserve"> </w:t>
      </w:r>
      <w:r>
        <w:t xml:space="preserve">agency will complete action on the request</w:t>
      </w:r>
      <w:r>
        <w:t xml:space="preserve">”</w:t>
      </w:r>
      <w:r>
        <w:t xml:space="preserve"> </w:t>
      </w:r>
      <w:r>
        <w:t xml:space="preserve">(5 U.S.C. §552(a)(7)(B)). Ask for both in writing; an estimate that slips</w:t>
      </w:r>
      <w:r>
        <w:t xml:space="preserve"> </w:t>
      </w:r>
      <w:r>
        <w:t xml:space="preserve">repeatedly is useful evidence later. Expedited processing is available to a person</w:t>
      </w:r>
      <w:r>
        <w:t xml:space="preserve"> </w:t>
      </w:r>
      <w:r>
        <w:t xml:space="preserve">“</w:t>
      </w:r>
      <w:r>
        <w:t xml:space="preserve">primarily engaged in</w:t>
      </w:r>
      <w:r>
        <w:t xml:space="preserve"> </w:t>
      </w:r>
      <w:r>
        <w:t xml:space="preserve">disseminating information</w:t>
      </w:r>
      <w:r>
        <w:t xml:space="preserve">”</w:t>
      </w:r>
      <w:r>
        <w:t xml:space="preserve"> </w:t>
      </w:r>
      <w:r>
        <w:t xml:space="preserve">who shows</w:t>
      </w:r>
      <w:r>
        <w:t xml:space="preserve"> </w:t>
      </w:r>
      <w:r>
        <w:t xml:space="preserve">“</w:t>
      </w:r>
      <w:r>
        <w:t xml:space="preserve">urgency to inform the public concerning actual or alleged Federal Government</w:t>
      </w:r>
      <w:r>
        <w:t xml:space="preserve"> </w:t>
      </w:r>
      <w:r>
        <w:t xml:space="preserve">activity</w:t>
      </w:r>
      <w:r>
        <w:t xml:space="preserve">”</w:t>
      </w:r>
      <w:r>
        <w:t xml:space="preserve"> </w:t>
      </w:r>
      <w:r>
        <w:t xml:space="preserve">(§552(a)(6)(E)(v)(II)); active congressional consideration of UAP disclosure legislation is the kind of</w:t>
      </w:r>
      <w:r>
        <w:t xml:space="preserve"> </w:t>
      </w:r>
      <w:r>
        <w:t xml:space="preserve">urgency to cite. The Office of Government Information Services (OGIS) at NARA mediates disputes without litigation</w:t>
      </w:r>
      <w:r>
        <w:t xml:space="preserve"> </w:t>
      </w:r>
      <w:r>
        <w:t xml:space="preserve">(§552(h)), and its involvement is worth requesting before suit when the problem is delay.</w:t>
      </w:r>
    </w:p>
    <w:bookmarkEnd w:id="28"/>
    <w:bookmarkStart w:id="29" w:name="Xcf0f68cf8e29bde0abc58b68ea3487503c3b365"/>
    <w:p>
      <w:pPr>
        <w:pStyle w:val="Heading3"/>
      </w:pPr>
      <w:r>
        <w:t xml:space="preserve">2.4 Exemption 1, foreseeable harm, and segregability</w:t>
      </w:r>
    </w:p>
    <w:p>
      <w:pPr>
        <w:pStyle w:val="FirstParagraph"/>
      </w:pPr>
      <w:r>
        <w:t xml:space="preserve">Courts give</w:t>
      </w:r>
      <w:r>
        <w:t xml:space="preserve"> </w:t>
      </w:r>
      <w:r>
        <w:t xml:space="preserve">“</w:t>
      </w:r>
      <w:r>
        <w:t xml:space="preserve">substantial weight</w:t>
      </w:r>
      <w:r>
        <w:t xml:space="preserve">”</w:t>
      </w:r>
      <w:r>
        <w:t xml:space="preserve"> </w:t>
      </w:r>
      <w:r>
        <w:t xml:space="preserve">to agency declarations on classification but review de novo. A</w:t>
      </w:r>
      <w:r>
        <w:t xml:space="preserve"> </w:t>
      </w:r>
      <w:r>
        <w:t xml:space="preserve">withholding is upheld where the declaration describes the information and the harm with reasonable</w:t>
      </w:r>
      <w:r>
        <w:t xml:space="preserve"> </w:t>
      </w:r>
      <w:r>
        <w:t xml:space="preserve">specificity and is not contradicted or shown to be in bad faith. In</w:t>
      </w:r>
      <w:r>
        <w:t xml:space="preserve"> </w:t>
      </w:r>
      <w:r>
        <w:rPr>
          <w:iCs/>
          <w:i/>
        </w:rPr>
        <w:t xml:space="preserve">Slaughter</w:t>
      </w:r>
      <w:r>
        <w:t xml:space="preserve">, the court upheld</w:t>
      </w:r>
      <w:r>
        <w:t xml:space="preserve"> </w:t>
      </w:r>
      <w:r>
        <w:t xml:space="preserve">withholding of an F-22 video in full because it showed launch-acceptability-region cues for the AIM-9X</w:t>
      </w:r>
      <w:r>
        <w:t xml:space="preserve"> </w:t>
      </w:r>
      <w:r>
        <w:t xml:space="preserve">missile, and accepted a thin segregability declaration. Practitioners should press for segregation of</w:t>
      </w:r>
      <w:r>
        <w:t xml:space="preserve"> </w:t>
      </w:r>
      <w:r>
        <w:t xml:space="preserve">the object imagery from platform and sensor data and ask for in camera review where the declaration does</w:t>
      </w:r>
      <w:r>
        <w:t xml:space="preserve"> </w:t>
      </w:r>
      <w:r>
        <w:t xml:space="preserve">not explain why the two cannot be separated.</w:t>
      </w:r>
    </w:p>
    <w:p>
      <w:pPr>
        <w:pStyle w:val="BodyText"/>
      </w:pPr>
      <w:r>
        <w:rPr>
          <w:bCs/>
          <w:b/>
        </w:rPr>
        <w:t xml:space="preserve">Foreseeable harm.</w:t>
      </w:r>
      <w:r>
        <w:t xml:space="preserve"> </w:t>
      </w:r>
      <w:r>
        <w:t xml:space="preserve">Since the FOIA Improvement Act of 2016, an agency may withhold information only if it</w:t>
      </w:r>
      <w:r>
        <w:t xml:space="preserve"> </w:t>
      </w:r>
      <w:r>
        <w:t xml:space="preserve">“</w:t>
      </w:r>
      <w:r>
        <w:t xml:space="preserve">reasonably foresees that disclosure would harm an interest protected by an exemption,</w:t>
      </w:r>
      <w:r>
        <w:t xml:space="preserve">”</w:t>
      </w:r>
      <w:r>
        <w:t xml:space="preserve"> </w:t>
      </w:r>
      <w:r>
        <w:t xml:space="preserve">or disclosure is prohibited</w:t>
      </w:r>
      <w:r>
        <w:t xml:space="preserve"> </w:t>
      </w:r>
      <w:r>
        <w:t xml:space="preserve">by law (§552(a)(8)(A)(i)). The D.C. Circuit treats this as</w:t>
      </w:r>
      <w:r>
        <w:t xml:space="preserve"> </w:t>
      </w:r>
      <w:r>
        <w:t xml:space="preserve">“</w:t>
      </w:r>
      <w:r>
        <w:t xml:space="preserve">an independent and meaningful burden on agencies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requires</w:t>
      </w:r>
      <w:r>
        <w:t xml:space="preserve"> </w:t>
      </w:r>
      <w:r>
        <w:t xml:space="preserve">“</w:t>
      </w:r>
      <w:r>
        <w:t xml:space="preserve">a focused and concrete demonstration of why disclosure of the particular type of material at issue will,</w:t>
      </w:r>
      <w:r>
        <w:t xml:space="preserve"> </w:t>
      </w:r>
      <w:r>
        <w:t xml:space="preserve">in the specific context of the agency action at issue, actually impede</w:t>
      </w:r>
      <w:r>
        <w:t xml:space="preserve">”</w:t>
      </w:r>
      <w:r>
        <w:t xml:space="preserve"> </w:t>
      </w:r>
      <w:r>
        <w:t xml:space="preserve">the protected interest.</w:t>
      </w:r>
      <w:r>
        <w:t xml:space="preserve"> </w:t>
      </w:r>
      <w:r>
        <w:rPr>
          <w:iCs/>
          <w:i/>
        </w:rPr>
        <w:t xml:space="preserve">Reporters</w:t>
      </w:r>
      <w:r>
        <w:rPr>
          <w:iCs/>
          <w:i/>
        </w:rPr>
        <w:t xml:space="preserve"> </w:t>
      </w:r>
      <w:r>
        <w:rPr>
          <w:iCs/>
          <w:i/>
        </w:rPr>
        <w:t xml:space="preserve">Committee for Freedom of the Press v. FBI</w:t>
      </w:r>
      <w:r>
        <w:t xml:space="preserve">, 3 F.4th 350, 369-70 (D.C. Cir. 2021). The requirement matters most for</w:t>
      </w:r>
      <w:r>
        <w:t xml:space="preserve"> </w:t>
      </w:r>
      <w:r>
        <w:t xml:space="preserve">Exemption 5. An agency that withholds analytic drafts or internal discussion of a UAP event under the deliberative</w:t>
      </w:r>
      <w:r>
        <w:t xml:space="preserve"> </w:t>
      </w:r>
      <w:r>
        <w:t xml:space="preserve">process privilege must explain the specific harm, and boilerplate will not do. For Exemptions 1 and 3, where</w:t>
      </w:r>
      <w:r>
        <w:t xml:space="preserve"> </w:t>
      </w:r>
      <w:r>
        <w:t xml:space="preserve">disclosure is</w:t>
      </w:r>
      <w:r>
        <w:t xml:space="preserve"> </w:t>
      </w:r>
      <w:r>
        <w:t xml:space="preserve">“</w:t>
      </w:r>
      <w:r>
        <w:t xml:space="preserve">prohibited by law,</w:t>
      </w:r>
      <w:r>
        <w:t xml:space="preserve">”</w:t>
      </w:r>
      <w:r>
        <w:t xml:space="preserve"> </w:t>
      </w:r>
      <w:r>
        <w:t xml:space="preserve">the requirement adds little.</w:t>
      </w:r>
    </w:p>
    <w:bookmarkEnd w:id="29"/>
    <w:bookmarkStart w:id="30" w:name="glomar-and-official-acknowledgment"/>
    <w:p>
      <w:pPr>
        <w:pStyle w:val="Heading3"/>
      </w:pPr>
      <w:r>
        <w:t xml:space="preserve">2.5 Glomar and official acknowledgment</w:t>
      </w:r>
    </w:p>
    <w:p>
      <w:pPr>
        <w:pStyle w:val="FirstParagraph"/>
      </w:pPr>
      <w:r>
        <w:t xml:space="preserve">An agency may refuse to confirm or deny the existence of records when the fact of their existence is</w:t>
      </w:r>
      <w:r>
        <w:t xml:space="preserve"> </w:t>
      </w:r>
      <w:r>
        <w:t xml:space="preserve">itself protected.</w:t>
      </w:r>
      <w:r>
        <w:t xml:space="preserve"> </w:t>
      </w:r>
      <w:r>
        <w:rPr>
          <w:iCs/>
          <w:i/>
        </w:rPr>
        <w:t xml:space="preserve">Phillippi v. CIA</w:t>
      </w:r>
      <w:r>
        <w:t xml:space="preserve">, 546 F.2d 1009 (D.C. Cir. 1976). A requester defeats a Glomar</w:t>
      </w:r>
      <w:r>
        <w:t xml:space="preserve"> </w:t>
      </w:r>
      <w:r>
        <w:t xml:space="preserve">response by showing official acknowledgment: the information requested must be as specific as, and</w:t>
      </w:r>
      <w:r>
        <w:t xml:space="preserve"> </w:t>
      </w:r>
      <w:r>
        <w:t xml:space="preserve">match, information</w:t>
      </w:r>
      <w:r>
        <w:t xml:space="preserve"> </w:t>
      </w:r>
      <w:r>
        <w:t xml:space="preserve">“</w:t>
      </w:r>
      <w:r>
        <w:t xml:space="preserve">made public through an official and documented disclosure.</w:t>
      </w:r>
      <w:r>
        <w:t xml:space="preserve">”</w:t>
      </w:r>
      <w:r>
        <w:t xml:space="preserve"> </w:t>
      </w:r>
      <w:r>
        <w:rPr>
          <w:iCs/>
          <w:i/>
        </w:rPr>
        <w:t xml:space="preserve">Fitzgibbon v. CIA</w:t>
      </w:r>
      <w:r>
        <w:t xml:space="preserve">, 911</w:t>
      </w:r>
      <w:r>
        <w:t xml:space="preserve"> </w:t>
      </w:r>
      <w:r>
        <w:t xml:space="preserve">F.2d 755, 765 (D.C. Cir. 1990). In the Glomar context, the question is whether a prior official</w:t>
      </w:r>
      <w:r>
        <w:t xml:space="preserve"> </w:t>
      </w:r>
      <w:r>
        <w:t xml:space="preserve">disclosure establishes the existence or nonexistence of responsive records.</w:t>
      </w:r>
      <w:r>
        <w:t xml:space="preserve"> </w:t>
      </w:r>
      <w:r>
        <w:rPr>
          <w:iCs/>
          <w:i/>
        </w:rPr>
        <w:t xml:space="preserve">ACLU v. CIA</w:t>
      </w:r>
      <w:r>
        <w:t xml:space="preserve">, 710 F.3d 422</w:t>
      </w:r>
      <w:r>
        <w:t xml:space="preserve"> </w:t>
      </w:r>
      <w:r>
        <w:t xml:space="preserve">(D.C. Cir. 2013) (CIA’s Glomar response on drone records was neither logical nor plausible after senior</w:t>
      </w:r>
      <w:r>
        <w:t xml:space="preserve"> </w:t>
      </w:r>
      <w:r>
        <w:t xml:space="preserve">officials publicly discussed the program).</w:t>
      </w:r>
    </w:p>
    <w:p>
      <w:pPr>
        <w:pStyle w:val="BodyText"/>
      </w:pPr>
      <w:r>
        <w:t xml:space="preserve">Two decisions limit what counts: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Leopold v. CIA</w:t>
      </w:r>
      <w:r>
        <w:t xml:space="preserve">, 987 F.3d 163 (D.C. Cir. 2021): a presidential tweet calling a newspaper report</w:t>
      </w:r>
      <w:r>
        <w:t xml:space="preserve"> </w:t>
      </w:r>
      <w:r>
        <w:t xml:space="preserve">“</w:t>
      </w:r>
      <w:r>
        <w:t xml:space="preserve">fabricated</w:t>
      </w:r>
      <w:r>
        <w:t xml:space="preserve">”</w:t>
      </w:r>
      <w:r>
        <w:t xml:space="preserve"> </w:t>
      </w:r>
      <w:r>
        <w:t xml:space="preserve">and referring to</w:t>
      </w:r>
      <w:r>
        <w:t xml:space="preserve"> </w:t>
      </w:r>
      <w:r>
        <w:t xml:space="preserve">“</w:t>
      </w:r>
      <w:r>
        <w:t xml:space="preserve">ending massive, dangerous, and wasteful payments to Syrian rebels</w:t>
      </w:r>
      <w:r>
        <w:t xml:space="preserve">”</w:t>
      </w:r>
      <w:r>
        <w:t xml:space="preserve"> </w:t>
      </w:r>
      <w:r>
        <w:t xml:space="preserve">did</w:t>
      </w:r>
      <w:r>
        <w:t xml:space="preserve"> </w:t>
      </w:r>
      <w:r>
        <w:t xml:space="preserve">not officially acknowledge the existence of CIA records about the program, so the agency’s Glomar</w:t>
      </w:r>
      <w:r>
        <w:t xml:space="preserve"> </w:t>
      </w:r>
      <w:r>
        <w:t xml:space="preserve">response stood.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New York Times Co. v. CIA</w:t>
      </w:r>
      <w:r>
        <w:t xml:space="preserve">, 965 F.3d 109 (2d Cir. 2020): the same presidential statements did not</w:t>
      </w:r>
      <w:r>
        <w:t xml:space="preserve"> </w:t>
      </w:r>
      <w:r>
        <w:t xml:space="preserve">waive Exemptions 1 and 3 through official acknowledgment and did not</w:t>
      </w:r>
      <w:r>
        <w:t xml:space="preserve"> </w:t>
      </w:r>
      <w:r>
        <w:t xml:space="preserve">“</w:t>
      </w:r>
      <w:r>
        <w:t xml:space="preserve">inadvertently declassify</w:t>
      </w:r>
      <w:r>
        <w:t xml:space="preserve">”</w:t>
      </w:r>
      <w:r>
        <w:t xml:space="preserve"> </w:t>
      </w:r>
      <w:r>
        <w:t xml:space="preserve">the</w:t>
      </w:r>
      <w:r>
        <w:t xml:space="preserve"> </w:t>
      </w:r>
      <w:r>
        <w:t xml:space="preserve">covert program (Katzmann, C.J., dissenting).</w:t>
      </w:r>
    </w:p>
    <w:p>
      <w:pPr>
        <w:pStyle w:val="FirstParagraph"/>
      </w:pPr>
      <w:r>
        <w:t xml:space="preserve">Two more D.C. Circuit decisions narrow official acknowledgment further, and both matter for UAP requests that</w:t>
      </w:r>
      <w:r>
        <w:t xml:space="preserve"> </w:t>
      </w:r>
      <w:r>
        <w:t xml:space="preserve">cross agencies:</w:t>
      </w:r>
    </w:p>
    <w:p>
      <w:pPr>
        <w:pStyle w:val="Compact"/>
        <w:numPr>
          <w:ilvl w:val="0"/>
          <w:numId w:val="1005"/>
        </w:numPr>
      </w:pPr>
      <w:r>
        <w:rPr>
          <w:iCs/>
          <w:i/>
        </w:rPr>
        <w:t xml:space="preserve">Knight First Amendment Institute v. CIA</w:t>
      </w:r>
      <w:r>
        <w:t xml:space="preserve">, 11 F.4th 810 (D.C. Cir. 2021):</w:t>
      </w:r>
      <w:r>
        <w:t xml:space="preserve"> </w:t>
      </w:r>
      <w:r>
        <w:t xml:space="preserve">“</w:t>
      </w:r>
      <w:r>
        <w:t xml:space="preserve">[d]isclosure by one federal agency</w:t>
      </w:r>
      <w:r>
        <w:t xml:space="preserve"> </w:t>
      </w:r>
      <w:r>
        <w:t xml:space="preserve">does not waive another agency’s right to assert a FOIA exemption</w:t>
      </w:r>
      <w:r>
        <w:t xml:space="preserve">”</w:t>
      </w:r>
      <w:r>
        <w:t xml:space="preserve"> </w:t>
      </w:r>
      <w:r>
        <w:t xml:space="preserve">(quoting</w:t>
      </w:r>
      <w:r>
        <w:t xml:space="preserve"> </w:t>
      </w:r>
      <w:r>
        <w:rPr>
          <w:iCs/>
          <w:i/>
        </w:rPr>
        <w:t xml:space="preserve">Mobley v. CIA</w:t>
      </w:r>
      <w:r>
        <w:t xml:space="preserve">, 806 F.3d 568, 583</w:t>
      </w:r>
      <w:r>
        <w:t xml:space="preserve"> </w:t>
      </w:r>
      <w:r>
        <w:t xml:space="preserve">(D.C. Cir. 2015)); State Department statements about what the government knew did not foreclose Glomar</w:t>
      </w:r>
      <w:r>
        <w:t xml:space="preserve"> </w:t>
      </w:r>
      <w:r>
        <w:t xml:space="preserve">responses by four intelligence agencies.</w:t>
      </w:r>
    </w:p>
    <w:p>
      <w:pPr>
        <w:pStyle w:val="Compact"/>
        <w:numPr>
          <w:ilvl w:val="0"/>
          <w:numId w:val="1005"/>
        </w:numPr>
      </w:pPr>
      <w:r>
        <w:rPr>
          <w:iCs/>
          <w:i/>
        </w:rPr>
        <w:t xml:space="preserve">Connell v. CIA</w:t>
      </w:r>
      <w:r>
        <w:t xml:space="preserve">, 110 F.4th 256 (D.C. Cir. 2024): a disclosure is</w:t>
      </w:r>
      <w:r>
        <w:t xml:space="preserve"> </w:t>
      </w:r>
      <w:r>
        <w:t xml:space="preserve">“</w:t>
      </w:r>
      <w:r>
        <w:t xml:space="preserve">official</w:t>
      </w:r>
      <w:r>
        <w:t xml:space="preserve">”</w:t>
      </w:r>
      <w:r>
        <w:t xml:space="preserve"> </w:t>
      </w:r>
      <w:r>
        <w:t xml:space="preserve">only if made by</w:t>
      </w:r>
      <w:r>
        <w:t xml:space="preserve"> </w:t>
      </w:r>
      <w:r>
        <w:t xml:space="preserve">“</w:t>
      </w:r>
      <w:r>
        <w:t xml:space="preserve">the agency</w:t>
      </w:r>
      <w:r>
        <w:t xml:space="preserve"> </w:t>
      </w:r>
      <w:r>
        <w:t xml:space="preserve">from which the information is being sought,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264 (quoting</w:t>
      </w:r>
      <w:r>
        <w:t xml:space="preserve"> </w:t>
      </w:r>
      <w:r>
        <w:rPr>
          <w:iCs/>
          <w:i/>
        </w:rPr>
        <w:t xml:space="preserve">Knight</w:t>
      </w:r>
      <w:r>
        <w:t xml:space="preserve">, 11 F.4th at 816, and</w:t>
      </w:r>
      <w:r>
        <w:t xml:space="preserve"> </w:t>
      </w:r>
      <w:r>
        <w:rPr>
          <w:iCs/>
          <w:i/>
        </w:rPr>
        <w:t xml:space="preserve">Frugone v.</w:t>
      </w:r>
      <w:r>
        <w:rPr>
          <w:iCs/>
          <w:i/>
        </w:rPr>
        <w:t xml:space="preserve"> </w:t>
      </w:r>
      <w:r>
        <w:rPr>
          <w:iCs/>
          <w:i/>
        </w:rPr>
        <w:t xml:space="preserve">CIA</w:t>
      </w:r>
      <w:r>
        <w:t xml:space="preserve">, 169 F.3d 772, 774 (D.C. Cir. 1999)), and an agency may produce previously released documents while giving a</w:t>
      </w:r>
      <w:r>
        <w:t xml:space="preserve"> </w:t>
      </w:r>
      <w:r>
        <w:t xml:space="preserve">Glomar response as to any classified or unacknowledged connection to the same subject,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266.</w:t>
      </w:r>
    </w:p>
    <w:p>
      <w:pPr>
        <w:pStyle w:val="FirstParagraph"/>
      </w:pPr>
      <w:r>
        <w:rPr>
          <w:bCs/>
          <w:b/>
        </w:rPr>
        <w:t xml:space="preserve">Former officials are not the agency.</w:t>
      </w:r>
      <w:r>
        <w:t xml:space="preserve"> </w:t>
      </w:r>
      <w:r>
        <w:t xml:space="preserve">Books and interviews by former officials, however senior, are not</w:t>
      </w:r>
      <w:r>
        <w:t xml:space="preserve"> </w:t>
      </w:r>
      <w:r>
        <w:t xml:space="preserve">official acknowledgments. The Second Circuit held that information a former CIA officer sought to publish remained</w:t>
      </w:r>
      <w:r>
        <w:t xml:space="preserve"> </w:t>
      </w:r>
      <w:r>
        <w:t xml:space="preserve">classified even though identical information had entered the public domain, because the disclosures had not come</w:t>
      </w:r>
      <w:r>
        <w:t xml:space="preserve"> </w:t>
      </w:r>
      <w:r>
        <w:t xml:space="preserve">from the Agency itself.</w:t>
      </w:r>
      <w:r>
        <w:t xml:space="preserve"> </w:t>
      </w:r>
      <w:r>
        <w:rPr>
          <w:iCs/>
          <w:i/>
        </w:rPr>
        <w:t xml:space="preserve">Wilson v. CIA</w:t>
      </w:r>
      <w:r>
        <w:t xml:space="preserve">, 586 F.3d 171, 174, 186-87, 191-92 (2d Cir. 2009). A 2026 account by a former</w:t>
      </w:r>
      <w:r>
        <w:t xml:space="preserve"> </w:t>
      </w:r>
      <w:r>
        <w:t xml:space="preserve">director of the Navy’s UAP Task Force (Jay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) or testimony by former officials such as</w:t>
      </w:r>
      <w:r>
        <w:t xml:space="preserve"> </w:t>
      </w:r>
      <w:r>
        <w:t xml:space="preserve">David Grusch therefore cannot defeat a Glomar response by itself. It can point a requester to the specific records,</w:t>
      </w:r>
      <w:r>
        <w:t xml:space="preserve"> </w:t>
      </w:r>
      <w:r>
        <w:t xml:space="preserve">programs, and dates to request, and it can support a later argument that a search was inadequate.</w:t>
      </w:r>
    </w:p>
    <w:p>
      <w:pPr>
        <w:pStyle w:val="BodyText"/>
      </w:pPr>
      <w:r>
        <w:rPr>
          <w:bCs/>
          <w:b/>
        </w:rPr>
        <w:t xml:space="preserve">AARO’s statements.</w:t>
      </w:r>
      <w:r>
        <w:t xml:space="preserve"> </w:t>
      </w:r>
      <w:r>
        <w:t xml:space="preserve">On the site’s working premise that AARO is a deliberate disinformation source, its</w:t>
      </w:r>
      <w:r>
        <w:t xml:space="preserve"> </w:t>
      </w:r>
      <w:r>
        <w:t xml:space="preserve">publications serve two purposes in a FOIA case. Where AARO confirms a fact, the confirmation is official and can</w:t>
      </w:r>
      <w:r>
        <w:t xml:space="preserve"> </w:t>
      </w:r>
      <w:r>
        <w:t xml:space="preserve">defeat a Department of War Glomar response. Where AARO denies or</w:t>
      </w:r>
      <w:r>
        <w:t xml:space="preserve"> </w:t>
      </w:r>
      <w:r>
        <w:t xml:space="preserve">“</w:t>
      </w:r>
      <w:r>
        <w:t xml:space="preserve">resolves</w:t>
      </w:r>
      <w:r>
        <w:t xml:space="preserve">”</w:t>
      </w:r>
      <w:r>
        <w:t xml:space="preserve"> </w:t>
      </w:r>
      <w:r>
        <w:t xml:space="preserve">an event, request the records behind the</w:t>
      </w:r>
      <w:r>
        <w:t xml:space="preserve"> </w:t>
      </w:r>
      <w:r>
        <w:t xml:space="preserve">finding (the case file, sensor data, analytic notes, and coordination with other components) so the conclusion can</w:t>
      </w:r>
      <w:r>
        <w:t xml:space="preserve"> </w:t>
      </w:r>
      <w:r>
        <w:t xml:space="preserve">be tested, and do not cite the finding as proof that no other records exist.</w:t>
      </w:r>
    </w:p>
    <w:p>
      <w:pPr>
        <w:pStyle w:val="BodyText"/>
      </w:pPr>
      <w:r>
        <w:rPr>
          <w:bCs/>
          <w:b/>
        </w:rPr>
        <w:t xml:space="preserve">Application to UAP.</w:t>
      </w:r>
      <w:r>
        <w:t xml:space="preserve"> </w:t>
      </w:r>
      <w:r>
        <w:t xml:space="preserve">The PURSUE program began with a presidential social-media announcement in</w:t>
      </w:r>
      <w:r>
        <w:t xml:space="preserve"> </w:t>
      </w:r>
      <w:r>
        <w:t xml:space="preserve">February 2026. Under</w:t>
      </w:r>
      <w:r>
        <w:t xml:space="preserve"> </w:t>
      </w:r>
      <w:r>
        <w:rPr>
          <w:iCs/>
          <w:i/>
        </w:rPr>
        <w:t xml:space="preserve">Leopold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NYT v. CIA</w:t>
      </w:r>
      <w:r>
        <w:t xml:space="preserve">, that announcement alone is unlikely to defeat a Glomar</w:t>
      </w:r>
      <w:r>
        <w:t xml:space="preserve"> </w:t>
      </w:r>
      <w:r>
        <w:t xml:space="preserve">response. Stronger official acknowledgments are: statutes (50 U.S.C. §§3373, 3373b; FY2024 NDAA §§1687,</w:t>
      </w:r>
      <w:r>
        <w:t xml:space="preserve"> </w:t>
      </w:r>
      <w:r>
        <w:t xml:space="preserve">1841-1843); AARO reports; sworn testimony of current officials before Congress; records released by the</w:t>
      </w:r>
      <w:r>
        <w:t xml:space="preserve"> </w:t>
      </w:r>
      <w:r>
        <w:t xml:space="preserve">Department of War, NARA, or the agency itself; and agency FOIA productions. Each acknowledgment must be</w:t>
      </w:r>
      <w:r>
        <w:t xml:space="preserve"> </w:t>
      </w:r>
      <w:r>
        <w:t xml:space="preserve">matched closely to the records requested, and under</w:t>
      </w:r>
      <w:r>
        <w:t xml:space="preserve"> </w:t>
      </w:r>
      <w:r>
        <w:rPr>
          <w:iCs/>
          <w:i/>
        </w:rPr>
        <w:t xml:space="preserve">Knight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Connell</w:t>
      </w:r>
      <w:r>
        <w:t xml:space="preserve"> </w:t>
      </w:r>
      <w:r>
        <w:t xml:space="preserve">it must come from the agency that</w:t>
      </w:r>
      <w:r>
        <w:t xml:space="preserve"> </w:t>
      </w:r>
      <w:r>
        <w:t xml:space="preserve">received the request: a Department of War release of an Air Force or Navy record defeats a DoD Glomar response,</w:t>
      </w:r>
      <w:r>
        <w:t xml:space="preserve"> </w:t>
      </w:r>
      <w:r>
        <w:t xml:space="preserve">but it does not defeat a CIA, NSA, or NRO Glomar response about the same event. Request each agency’s records</w:t>
      </w:r>
      <w:r>
        <w:t xml:space="preserve"> </w:t>
      </w:r>
      <w:r>
        <w:t xml:space="preserve">separately and cite that agency’s own statements.</w:t>
      </w:r>
    </w:p>
    <w:bookmarkEnd w:id="30"/>
    <w:bookmarkStart w:id="31" w:name="exemption-3-statutes-likely-in-uap-cases"/>
    <w:p>
      <w:pPr>
        <w:pStyle w:val="Heading3"/>
      </w:pPr>
      <w:r>
        <w:t xml:space="preserve">2.6 Exemption 3 statutes likely in UAP cases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Statute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§3024(i)(1)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DNI’s duty to protect intelligence sources and methods (broadly construed,</w:t>
            </w:r>
            <w:r>
              <w:t xml:space="preserve"> </w:t>
            </w:r>
            <w:r>
              <w:rPr>
                <w:iCs/>
                <w:i/>
              </w:rPr>
              <w:t xml:space="preserve">CIA v. Sims</w:t>
            </w:r>
            <w:r>
              <w:t xml:space="preserve">, 471 U.S. 159 (1985))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§3605 (NSA Act §6)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NSA organization, functions,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§3507 (CIA Act §6)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CIA organization, functions, personnel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U.S.C. §130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DoD technical data with military or space application subject to export control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U.S.C. §424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DIA, NRO, NGA organizational and personnel information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 U.S.C. §2162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Restricted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 U.S.C. §181-186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Patent applications under secrecy order</w:t>
            </w:r>
          </w:p>
        </w:tc>
      </w:tr>
    </w:tbl>
    <w:p>
      <w:pPr>
        <w:pStyle w:val="BodyText"/>
      </w:pPr>
      <w:r>
        <w:t xml:space="preserve">CIA has an additional tool. Its designated operational files are exempt from FOIA’s search, review, and disclosure</w:t>
      </w:r>
      <w:r>
        <w:t xml:space="preserve"> </w:t>
      </w:r>
      <w:r>
        <w:t xml:space="preserve">requirements, subject to exceptions for information that was the subject of an investigation of impropriety and for</w:t>
      </w:r>
      <w:r>
        <w:t xml:space="preserve"> </w:t>
      </w:r>
      <w:r>
        <w:t xml:space="preserve">records already disseminated elsewhere (50 U.S.C. §3141). If CIA invokes the exemption, ask whether the records were</w:t>
      </w:r>
      <w:r>
        <w:t xml:space="preserve"> </w:t>
      </w:r>
      <w:r>
        <w:t xml:space="preserve">disseminated outside the operational files and whether any inspector general or congressional investigation</w:t>
      </w:r>
      <w:r>
        <w:t xml:space="preserve"> </w:t>
      </w:r>
      <w:r>
        <w:t xml:space="preserve">concerned them.</w:t>
      </w:r>
    </w:p>
    <w:bookmarkEnd w:id="31"/>
    <w:bookmarkStart w:id="33" w:name="contractor-held-and-subscribed-records"/>
    <w:p>
      <w:pPr>
        <w:pStyle w:val="Heading3"/>
      </w:pPr>
      <w:r>
        <w:t xml:space="preserve">2.7 Contractor-held and subscribed records</w:t>
      </w:r>
    </w:p>
    <w:p>
      <w:pPr>
        <w:pStyle w:val="FirstParagraph"/>
      </w:pPr>
      <w:r>
        <w:t xml:space="preserve">FOIA reaches</w:t>
      </w:r>
      <w:r>
        <w:t xml:space="preserve"> </w:t>
      </w:r>
      <w:r>
        <w:t xml:space="preserve">“</w:t>
      </w:r>
      <w:r>
        <w:t xml:space="preserve">agency records,</w:t>
      </w:r>
      <w:r>
        <w:t xml:space="preserve">”</w:t>
      </w:r>
      <w:r>
        <w:t xml:space="preserve"> </w:t>
      </w:r>
      <w:r>
        <w:t xml:space="preserve">meaning records an agency created or obtained and controls at the time of</w:t>
      </w:r>
      <w:r>
        <w:t xml:space="preserve"> </w:t>
      </w:r>
      <w:r>
        <w:t xml:space="preserve">the request.</w:t>
      </w:r>
      <w:r>
        <w:t xml:space="preserve"> </w:t>
      </w:r>
      <w:r>
        <w:rPr>
          <w:iCs/>
          <w:i/>
        </w:rPr>
        <w:t xml:space="preserve">DOJ v. Tax Analysts</w:t>
      </w:r>
      <w:r>
        <w:t xml:space="preserve">, 492 U.S. 136, 144-45 (1989);</w:t>
      </w:r>
      <w:r>
        <w:t xml:space="preserve"> </w:t>
      </w:r>
      <w:r>
        <w:rPr>
          <w:iCs/>
          <w:i/>
        </w:rPr>
        <w:t xml:space="preserve">Forsham v. Harris</w:t>
      </w:r>
      <w:r>
        <w:t xml:space="preserve">, 445 U.S. 169, 177-82 (1980)</w:t>
      </w:r>
      <w:r>
        <w:t xml:space="preserve"> </w:t>
      </w:r>
      <w:r>
        <w:t xml:space="preserve">(records of a federally funded grantee not agency records absent government possession or control);</w:t>
      </w:r>
      <w:r>
        <w:t xml:space="preserve"> </w:t>
      </w:r>
      <w:r>
        <w:rPr>
          <w:iCs/>
          <w:i/>
        </w:rPr>
        <w:t xml:space="preserve">Burka v. HHS</w:t>
      </w:r>
      <w:r>
        <w:t xml:space="preserve">, 87 F.3d 508, 515 (D.C. Cir. 1996) (data tapes held by contractors were agency records</w:t>
      </w:r>
      <w:r>
        <w:t xml:space="preserve"> </w:t>
      </w:r>
      <w:r>
        <w:t xml:space="preserve">because of HHS’s</w:t>
      </w:r>
      <w:r>
        <w:t xml:space="preserve"> </w:t>
      </w:r>
      <w:r>
        <w:t xml:space="preserve">“</w:t>
      </w:r>
      <w:r>
        <w:t xml:space="preserve">extensive supervision and control</w:t>
      </w:r>
      <w:r>
        <w:t xml:space="preserve">”</w:t>
      </w:r>
      <w:r>
        <w:t xml:space="preserve"> </w:t>
      </w:r>
      <w:r>
        <w:t xml:space="preserve">over collection and analysis, and HHS had</w:t>
      </w:r>
      <w:r>
        <w:t xml:space="preserve"> </w:t>
      </w:r>
      <w:r>
        <w:t xml:space="preserve">“</w:t>
      </w:r>
      <w:r>
        <w:t xml:space="preserve">constructive control</w:t>
      </w:r>
      <w:r>
        <w:t xml:space="preserve">”</w:t>
      </w:r>
      <w:r>
        <w:t xml:space="preserve"> </w:t>
      </w:r>
      <w:r>
        <w:t xml:space="preserve">when the request was filed; applying the D.C. Circuit’s four control factors).</w:t>
      </w:r>
      <w:r>
        <w:t xml:space="preserve"> </w:t>
      </w:r>
      <w:r>
        <w:t xml:space="preserve">KeyCite shows a yellow flag on</w:t>
      </w:r>
      <w:r>
        <w:t xml:space="preserve"> </w:t>
      </w:r>
      <w:r>
        <w:rPr>
          <w:iCs/>
          <w:i/>
        </w:rPr>
        <w:t xml:space="preserve">Burka</w:t>
      </w:r>
      <w:r>
        <w:t xml:space="preserve"> </w:t>
      </w:r>
      <w:r>
        <w:t xml:space="preserve">(disagreement recognized in</w:t>
      </w:r>
      <w:r>
        <w:t xml:space="preserve"> </w:t>
      </w:r>
      <w:r>
        <w:rPr>
          <w:iCs/>
          <w:i/>
        </w:rPr>
        <w:t xml:space="preserve">Center for Biological Diversity v. U.S.</w:t>
      </w:r>
      <w:r>
        <w:rPr>
          <w:iCs/>
          <w:i/>
        </w:rPr>
        <w:t xml:space="preserve"> </w:t>
      </w:r>
      <w:r>
        <w:rPr>
          <w:iCs/>
          <w:i/>
        </w:rPr>
        <w:t xml:space="preserve">Forest Service</w:t>
      </w:r>
      <w:r>
        <w:t xml:space="preserve"> </w:t>
      </w:r>
      <w:r>
        <w:t xml:space="preserve">(D.D.C. Mar. 28, 2025)); read that decision before relying on the constructive-control</w:t>
      </w:r>
      <w:r>
        <w:t xml:space="preserve"> </w:t>
      </w:r>
      <w:r>
        <w:t xml:space="preserve">reasoning. Two UAP applications:</w:t>
      </w:r>
    </w:p>
    <w:p>
      <w:pPr>
        <w:pStyle w:val="Compact"/>
        <w:numPr>
          <w:ilvl w:val="0"/>
          <w:numId w:val="1006"/>
        </w:numPr>
      </w:pPr>
      <w:r>
        <w:t xml:space="preserve">Records held by contractors in UAP programs are reachable under FOIA only if the agency has obtained or</w:t>
      </w:r>
      <w:r>
        <w:t xml:space="preserve"> </w:t>
      </w:r>
      <w:r>
        <w:t xml:space="preserve">controls them; the Records Collection reaches further, covering</w:t>
      </w:r>
      <w:r>
        <w:t xml:space="preserve"> </w:t>
      </w:r>
      <w:r>
        <w:t xml:space="preserve">“</w:t>
      </w:r>
      <w:r>
        <w:t xml:space="preserve">Government-funded</w:t>
      </w:r>
      <w:r>
        <w:t xml:space="preserve">”</w:t>
      </w:r>
      <w:r>
        <w:t xml:space="preserve"> </w:t>
      </w:r>
      <w:r>
        <w:t xml:space="preserve">records (A3).</w:t>
      </w:r>
    </w:p>
    <w:p>
      <w:pPr>
        <w:pStyle w:val="Compact"/>
        <w:numPr>
          <w:ilvl w:val="0"/>
          <w:numId w:val="1006"/>
        </w:numPr>
      </w:pPr>
      <w:r>
        <w:t xml:space="preserve">AARO’s planned commercial subscription to the National UFO Historical Records Center archive (reported</w:t>
      </w:r>
      <w:r>
        <w:t xml:space="preserve"> </w:t>
      </w:r>
      <w:r>
        <w:t xml:space="preserve">Sept. 2026) raises whether subscribed records become agency records. Under</w:t>
      </w:r>
      <w:r>
        <w:t xml:space="preserve"> </w:t>
      </w:r>
      <w:r>
        <w:rPr>
          <w:iCs/>
          <w:i/>
        </w:rPr>
        <w:t xml:space="preserve">Tax Analysts</w:t>
      </w:r>
      <w:r>
        <w:t xml:space="preserve">, records the</w:t>
      </w:r>
      <w:r>
        <w:t xml:space="preserve"> </w:t>
      </w:r>
      <w:r>
        <w:t xml:space="preserve">agency obtains and uses in its work can qualify, but license terms and the absence of control may defeat</w:t>
      </w:r>
      <w:r>
        <w:t xml:space="preserve"> </w:t>
      </w:r>
      <w:r>
        <w:t xml:space="preserve">that status. Requests should ask specifically for subscribed records used in AARO analyses.</w:t>
      </w:r>
    </w:p>
    <w:p>
      <w:pPr>
        <w:pStyle w:val="FirstParagraph"/>
      </w:pPr>
      <w:r>
        <w:rPr>
          <w:bCs/>
          <w:b/>
        </w:rPr>
        <w:t xml:space="preserve">Contractor objections.</w:t>
      </w:r>
      <w:r>
        <w:t xml:space="preserve"> </w:t>
      </w:r>
      <w:r>
        <w:t xml:space="preserve">A contractor whose information an agency proposes to release may sue to block it</w:t>
      </w:r>
      <w:r>
        <w:t xml:space="preserve"> </w:t>
      </w:r>
      <w:r>
        <w:t xml:space="preserve">(</w:t>
      </w:r>
      <w:r>
        <w:t xml:space="preserve">“</w:t>
      </w:r>
      <w:r>
        <w:t xml:space="preserve">reverse FOIA</w:t>
      </w:r>
      <w:r>
        <w:t xml:space="preserve">”</w:t>
      </w:r>
      <w:r>
        <w:t xml:space="preserve">) under the APA.</w:t>
      </w:r>
      <w:r>
        <w:t xml:space="preserve"> </w:t>
      </w:r>
      <w:r>
        <w:rPr>
          <w:iCs/>
          <w:i/>
        </w:rPr>
        <w:t xml:space="preserve">Chrysler Corp. v. Brown</w:t>
      </w:r>
      <w:r>
        <w:t xml:space="preserve">, 441 U.S. 281, 317-18 (1979). The contractor’s usual</w:t>
      </w:r>
      <w:r>
        <w:t xml:space="preserve"> </w:t>
      </w:r>
      <w:r>
        <w:t xml:space="preserve">ground is Exemption 4, which covers commercial or financial information that is</w:t>
      </w:r>
      <w:r>
        <w:t xml:space="preserve"> </w:t>
      </w:r>
      <w:r>
        <w:t xml:space="preserve">“</w:t>
      </w:r>
      <w:r>
        <w:t xml:space="preserve">both customarily and actually</w:t>
      </w:r>
      <w:r>
        <w:t xml:space="preserve"> </w:t>
      </w:r>
      <w:r>
        <w:t xml:space="preserve">treated as private by its owner and provided to the government under an assurance of privacy.</w:t>
      </w:r>
      <w:r>
        <w:t xml:space="preserve">”</w:t>
      </w:r>
      <w:r>
        <w:t xml:space="preserve"> </w:t>
      </w:r>
      <w:r>
        <w:rPr>
          <w:iCs/>
          <w:i/>
        </w:rPr>
        <w:t xml:space="preserve">Food Marketing</w:t>
      </w:r>
      <w:r>
        <w:rPr>
          <w:iCs/>
          <w:i/>
        </w:rPr>
        <w:t xml:space="preserve"> </w:t>
      </w:r>
      <w:r>
        <w:rPr>
          <w:iCs/>
          <w:i/>
        </w:rPr>
        <w:t xml:space="preserve">Institute v. Argus Leader Media</w:t>
      </w:r>
      <w:r>
        <w:t xml:space="preserve">, 588 U.S. 427 (2019). Expect contractors in UAP programs to invoke Exemption 4</w:t>
      </w:r>
      <w:r>
        <w:t xml:space="preserve"> </w:t>
      </w:r>
      <w:r>
        <w:t xml:space="preserve">for technical and cost data; a requester should ask the agency whether the contractor received any assurance of</w:t>
      </w:r>
      <w:r>
        <w:t xml:space="preserve"> </w:t>
      </w:r>
      <w:r>
        <w:t xml:space="preserve">confidentiality.</w:t>
      </w:r>
    </w:p>
    <w:p>
      <w:pPr>
        <w:pStyle w:val="BodyText"/>
      </w:pPr>
      <w:r>
        <w:rPr>
          <w:bCs/>
          <w:b/>
        </w:rPr>
        <w:t xml:space="preserve">Witness names.</w:t>
      </w:r>
      <w:r>
        <w:t xml:space="preserve"> </w:t>
      </w:r>
      <w:r>
        <w:t xml:space="preserve">Exemptions 6 and 7(C) protect personal privacy. For records about named witnesses, obtain each</w:t>
      </w:r>
      <w:r>
        <w:t xml:space="preserve"> </w:t>
      </w:r>
      <w:r>
        <w:t xml:space="preserve">living person’s signed consent (</w:t>
      </w:r>
      <w:hyperlink r:id="rId32">
        <w:r>
          <w:rPr>
            <w:rStyle w:val="Hyperlink"/>
          </w:rPr>
          <w:t xml:space="preserve">Form F4-1</w:t>
        </w:r>
      </w:hyperlink>
      <w:r>
        <w:t xml:space="preserve"> </w:t>
      </w:r>
      <w:r>
        <w:t xml:space="preserve">explains how), or proof of death, before filing.</w:t>
      </w:r>
    </w:p>
    <w:bookmarkEnd w:id="33"/>
    <w:bookmarkStart w:id="34" w:name="fees-and-fee-waivers"/>
    <w:p>
      <w:pPr>
        <w:pStyle w:val="Heading3"/>
      </w:pPr>
      <w:r>
        <w:t xml:space="preserve">2.8 Fees and fee waivers</w:t>
      </w:r>
    </w:p>
    <w:p>
      <w:pPr>
        <w:pStyle w:val="FirstParagraph"/>
      </w:pPr>
      <w:r>
        <w:t xml:space="preserve">Requesters who publish (news media category) pay duplication costs only. Fee waivers require that</w:t>
      </w:r>
      <w:r>
        <w:t xml:space="preserve"> </w:t>
      </w:r>
      <w:r>
        <w:t xml:space="preserve">disclosure contribute significantly to public understanding of government operations. Attorney-fee</w:t>
      </w:r>
      <w:r>
        <w:t xml:space="preserve"> </w:t>
      </w:r>
      <w:r>
        <w:t xml:space="preserve">awards after litigation depend on the public benefit of the specific records obtained; in</w:t>
      </w:r>
      <w:r>
        <w:t xml:space="preserve"> </w:t>
      </w:r>
      <w:r>
        <w:rPr>
          <w:iCs/>
          <w:i/>
        </w:rPr>
        <w:t xml:space="preserve">Bryant v.</w:t>
      </w:r>
      <w:r>
        <w:rPr>
          <w:iCs/>
          <w:i/>
        </w:rPr>
        <w:t xml:space="preserve"> </w:t>
      </w:r>
      <w:r>
        <w:rPr>
          <w:iCs/>
          <w:i/>
        </w:rPr>
        <w:t xml:space="preserve">CIA</w:t>
      </w:r>
      <w:r>
        <w:t xml:space="preserve">, a UFO requester who obtained two excised documents totaling five pages was denied fees. 818 F.</w:t>
      </w:r>
      <w:r>
        <w:t xml:space="preserve"> </w:t>
      </w:r>
      <w:r>
        <w:t xml:space="preserve">Supp. 2d at 157-58.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7" w:name="mandatory-declassification-review"/>
    <w:p>
      <w:pPr>
        <w:pStyle w:val="Heading2"/>
      </w:pPr>
      <w:r>
        <w:t xml:space="preserve">3. Mandatory declassification review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Authority.</w:t>
      </w:r>
      <w:r>
        <w:t xml:space="preserve"> </w:t>
      </w:r>
      <w:r>
        <w:t xml:space="preserve">EO 13526 §3.5; 32 C.F.R. §2001.33. Any person may request review of specified classified</w:t>
      </w:r>
      <w:r>
        <w:t xml:space="preserve"> </w:t>
      </w:r>
      <w:r>
        <w:t xml:space="preserve">records. The request must be specific enough for the agency to locate the records</w:t>
      </w:r>
      <w:r>
        <w:t xml:space="preserve"> </w:t>
      </w:r>
      <w:r>
        <w:t xml:space="preserve">“</w:t>
      </w:r>
      <w:r>
        <w:t xml:space="preserve">with a reasonable amount</w:t>
      </w:r>
      <w:r>
        <w:t xml:space="preserve"> </w:t>
      </w:r>
      <w:r>
        <w:t xml:space="preserve">of effort</w:t>
      </w:r>
      <w:r>
        <w:t xml:space="preserve">”</w:t>
      </w:r>
      <w:r>
        <w:t xml:space="preserve">; requests for</w:t>
      </w:r>
      <w:r>
        <w:t xml:space="preserve"> </w:t>
      </w:r>
      <w:r>
        <w:t xml:space="preserve">“</w:t>
      </w:r>
      <w:r>
        <w:t xml:space="preserve">broad types of information, entire file series of records, or similar non-specific</w:t>
      </w:r>
      <w:r>
        <w:t xml:space="preserve"> </w:t>
      </w:r>
      <w:r>
        <w:t xml:space="preserve">requests</w:t>
      </w:r>
      <w:r>
        <w:t xml:space="preserve">”</w:t>
      </w:r>
      <w:r>
        <w:t xml:space="preserve"> </w:t>
      </w:r>
      <w:r>
        <w:t xml:space="preserve">may be denied. The agency must make a final determination</w:t>
      </w:r>
      <w:r>
        <w:t xml:space="preserve"> </w:t>
      </w:r>
      <w:r>
        <w:t xml:space="preserve">“</w:t>
      </w:r>
      <w:r>
        <w:t xml:space="preserve">within one year from the date of</w:t>
      </w:r>
      <w:r>
        <w:t xml:space="preserve"> </w:t>
      </w:r>
      <w:r>
        <w:t xml:space="preserve">receipt</w:t>
      </w:r>
      <w:r>
        <w:t xml:space="preserve">”</w:t>
      </w:r>
      <w:r>
        <w:t xml:space="preserve">; an administrative appeal must be filed within 60 days of a denial, and the appellate authority</w:t>
      </w:r>
      <w:r>
        <w:t xml:space="preserve"> </w:t>
      </w:r>
      <w:r>
        <w:t xml:space="preserve">“</w:t>
      </w:r>
      <w:r>
        <w:t xml:space="preserve">shall normally</w:t>
      </w:r>
      <w:r>
        <w:t xml:space="preserve">”</w:t>
      </w:r>
      <w:r>
        <w:t xml:space="preserve"> </w:t>
      </w:r>
      <w:r>
        <w:t xml:space="preserve">decide within 60 working days; final appeal lies to ISCAP (EO 13526 §5.3). 32 C.F.R.</w:t>
      </w:r>
      <w:r>
        <w:t xml:space="preserve"> </w:t>
      </w:r>
      <w:r>
        <w:t xml:space="preserve">§2001.33(a)(2).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Advantages.</w:t>
      </w:r>
      <w:r>
        <w:t xml:space="preserve"> </w:t>
      </w:r>
      <w:r>
        <w:t xml:space="preserve">MDR does not depend on whether the requester can describe records by FOIA standards</w:t>
      </w:r>
      <w:r>
        <w:t xml:space="preserve"> </w:t>
      </w:r>
      <w:r>
        <w:t xml:space="preserve">only; it requires sufficient description for the agency to locate the record. The Information Security</w:t>
      </w:r>
      <w:r>
        <w:t xml:space="preserve"> </w:t>
      </w:r>
      <w:r>
        <w:t xml:space="preserve">Oversight Office’s annual reports to the President show that ISCAP declassifies information in whole or in part</w:t>
      </w:r>
      <w:r>
        <w:t xml:space="preserve"> </w:t>
      </w:r>
      <w:r>
        <w:t xml:space="preserve">in a large share of the documents it decides; cite the current report when appealing. MDR reaches some records</w:t>
      </w:r>
      <w:r>
        <w:t xml:space="preserve"> </w:t>
      </w:r>
      <w:r>
        <w:t xml:space="preserve">held by presidential libraries.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Limits.</w:t>
      </w:r>
      <w:r>
        <w:t xml:space="preserve"> </w:t>
      </w:r>
      <w:r>
        <w:t xml:space="preserve">No judicial review. Records that are the subject of pending FOIA litigation are excluded</w:t>
      </w:r>
      <w:r>
        <w:t xml:space="preserve"> </w:t>
      </w:r>
      <w:r>
        <w:t xml:space="preserve">under EO 13526 §3.5(a)(3) (</w:t>
      </w:r>
      <w:r>
        <w:t xml:space="preserve">“</w:t>
      </w:r>
      <w:r>
        <w:t xml:space="preserve">the information is not the subject of pending litigation</w:t>
      </w:r>
      <w:r>
        <w:t xml:space="preserve">”</w:t>
      </w:r>
      <w:r>
        <w:t xml:space="preserve">); operational files</w:t>
      </w:r>
      <w:r>
        <w:t xml:space="preserve"> </w:t>
      </w:r>
      <w:r>
        <w:t xml:space="preserve">exempted from FOIA search are excluded (§3.5(a)(2)); information originated by the incumbent President, Vice</w:t>
      </w:r>
      <w:r>
        <w:t xml:space="preserve"> </w:t>
      </w:r>
      <w:r>
        <w:t xml:space="preserve">President, and their staffs is exempt (§3.5(b)); and an agency that reviewed the information within the past 2</w:t>
      </w:r>
      <w:r>
        <w:t xml:space="preserve"> </w:t>
      </w:r>
      <w:r>
        <w:t xml:space="preserve">years</w:t>
      </w:r>
      <w:r>
        <w:t xml:space="preserve"> </w:t>
      </w:r>
      <w:r>
        <w:t xml:space="preserve">“</w:t>
      </w:r>
      <w:r>
        <w:t xml:space="preserve">need not conduct another review</w:t>
      </w:r>
      <w:r>
        <w:t xml:space="preserve">”</w:t>
      </w:r>
      <w:r>
        <w:t xml:space="preserve"> </w:t>
      </w:r>
      <w:r>
        <w:t xml:space="preserve">(§3.5(d)). ISCAP has carried long backlogs, which the ISOO reports document.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Strategy.</w:t>
      </w:r>
      <w:r>
        <w:t xml:space="preserve"> </w:t>
      </w:r>
      <w:r>
        <w:t xml:space="preserve">Use MDR for older, specifically identified UAP records (Project Blue Book-era intelligence</w:t>
      </w:r>
      <w:r>
        <w:t xml:space="preserve"> </w:t>
      </w:r>
      <w:r>
        <w:t xml:space="preserve">reports; JANAP 146 CIRVIS reports; 1950s-1990s cables), and for directives and classification guides</w:t>
      </w:r>
      <w:r>
        <w:t xml:space="preserve"> </w:t>
      </w:r>
      <w:r>
        <w:t xml:space="preserve">(</w:t>
      </w:r>
      <w:hyperlink r:id="rId36">
        <w:r>
          <w:rPr>
            <w:rStyle w:val="Hyperlink"/>
          </w:rPr>
          <w:t xml:space="preserve">Form A2-1</w:t>
        </w:r>
      </w:hyperlink>
      <w:r>
        <w:t xml:space="preserve">). Use FOIA for recent records and where judicial review matters.</w:t>
      </w:r>
    </w:p>
    <w:p>
      <w:r>
        <w:pict>
          <v:rect style="width:0;height:1.5pt" o:hralign="center" o:hrstd="t" o:hr="t"/>
        </w:pict>
      </w:r>
    </w:p>
    <w:bookmarkEnd w:id="37"/>
    <w:bookmarkStart w:id="38" w:name="X38df3ba57ba8330f4a11a8718ba8b36c3d274e7"/>
    <w:p>
      <w:pPr>
        <w:pStyle w:val="Heading2"/>
      </w:pPr>
      <w:r>
        <w:t xml:space="preserve">4. The UAP Records Collection and other releases</w:t>
      </w:r>
    </w:p>
    <w:p>
      <w:pPr>
        <w:pStyle w:val="FirstParagraph"/>
      </w:pPr>
      <w:r>
        <w:t xml:space="preserve">The Records Collection provisions and their enforcement are analyzed in</w:t>
      </w:r>
      <w:r>
        <w:t xml:space="preserve"> </w:t>
      </w:r>
      <w:hyperlink r:id="rId22">
        <w:r>
          <w:rPr>
            <w:rStyle w:val="Hyperlink"/>
          </w:rPr>
          <w:t xml:space="preserve">Issue A3</w:t>
        </w:r>
      </w:hyperlink>
      <w:r>
        <w:t xml:space="preserve">. In practice:</w:t>
      </w:r>
    </w:p>
    <w:p>
      <w:pPr>
        <w:pStyle w:val="Compact"/>
        <w:numPr>
          <w:ilvl w:val="0"/>
          <w:numId w:val="1008"/>
        </w:numPr>
      </w:pPr>
      <w:r>
        <w:t xml:space="preserve">Ask NARA whether a given agency has transmitted records to RG 615 and whether any have been postponed;</w:t>
      </w:r>
      <w:r>
        <w:t xml:space="preserve"> </w:t>
      </w:r>
      <w:r>
        <w:t xml:space="preserve">NARA’s FAQ states agencies transfer redacted and unredacted copies together.</w:t>
      </w:r>
    </w:p>
    <w:p>
      <w:pPr>
        <w:pStyle w:val="Compact"/>
        <w:numPr>
          <w:ilvl w:val="0"/>
          <w:numId w:val="1008"/>
        </w:numPr>
      </w:pPr>
      <w:r>
        <w:t xml:space="preserve">For a postponed record, ask the agency for the §1843(a) ground and the Federal Register citation of the</w:t>
      </w:r>
      <w:r>
        <w:t xml:space="preserve"> </w:t>
      </w:r>
      <w:r>
        <w:t xml:space="preserve">unclassified reason required by §1842(g)(2)(B).</w:t>
      </w:r>
    </w:p>
    <w:p>
      <w:pPr>
        <w:pStyle w:val="Compact"/>
        <w:numPr>
          <w:ilvl w:val="0"/>
          <w:numId w:val="1008"/>
        </w:numPr>
      </w:pPr>
      <w:r>
        <w:t xml:space="preserve">For records older than 25 years, ask whether the President has certified continued postponement under</w:t>
      </w:r>
      <w:r>
        <w:t xml:space="preserve"> </w:t>
      </w:r>
      <w:r>
        <w:t xml:space="preserve">§1842(g)(2)(D).</w:t>
      </w:r>
    </w:p>
    <w:p>
      <w:pPr>
        <w:pStyle w:val="Compact"/>
        <w:numPr>
          <w:ilvl w:val="0"/>
          <w:numId w:val="1008"/>
        </w:numPr>
      </w:pPr>
      <w:r>
        <w:t xml:space="preserve">Track PURSUE tranches (at least six through September 18, 2026) and cite released records as official</w:t>
      </w:r>
      <w:r>
        <w:t xml:space="preserve"> </w:t>
      </w:r>
      <w:r>
        <w:t xml:space="preserve">acknowledgments in later requests.</w:t>
      </w:r>
    </w:p>
    <w:p>
      <w:pPr>
        <w:pStyle w:val="Compact"/>
        <w:numPr>
          <w:ilvl w:val="0"/>
          <w:numId w:val="1008"/>
        </w:numPr>
      </w:pPr>
      <w:r>
        <w:t xml:space="preserve">White House records are the hardest target. FOIA does not reach the President’s immediate staff, and the</w:t>
      </w:r>
      <w:r>
        <w:t xml:space="preserve"> </w:t>
      </w:r>
      <w:r>
        <w:t xml:space="preserve">Office of Legal Counsel concluded on April 1, 2026 that the Presidential Records Act is unconstitutional in its</w:t>
      </w:r>
      <w:r>
        <w:t xml:space="preserve"> </w:t>
      </w:r>
      <w:r>
        <w:t xml:space="preserve">entirety (see</w:t>
      </w:r>
      <w:r>
        <w:t xml:space="preserve"> </w:t>
      </w:r>
      <w:hyperlink r:id="rId22">
        <w:r>
          <w:rPr>
            <w:rStyle w:val="Hyperlink"/>
          </w:rPr>
          <w:t xml:space="preserve">Issue A3</w:t>
        </w:r>
      </w:hyperlink>
      <w:r>
        <w:t xml:space="preserve">, §4). Request agency-held copies of White House UAP communications</w:t>
      </w:r>
      <w:r>
        <w:t xml:space="preserve"> </w:t>
      </w:r>
      <w:r>
        <w:t xml:space="preserve">(for example, briefing records at DoD, ODNI, or AARO), which remain agency records subject to FOIA.</w:t>
      </w:r>
    </w:p>
    <w:p>
      <w:r>
        <w:pict>
          <v:rect style="width:0;height:1.5pt" o:hralign="center" o:hrstd="t" o:hr="t"/>
        </w:pict>
      </w:r>
    </w:p>
    <w:bookmarkEnd w:id="38"/>
    <w:bookmarkStart w:id="40" w:name="state-and-foreign-records"/>
    <w:p>
      <w:pPr>
        <w:pStyle w:val="Heading2"/>
      </w:pPr>
      <w:r>
        <w:t xml:space="preserve">5. State and foreign records</w:t>
      </w:r>
    </w:p>
    <w:p>
      <w:pPr>
        <w:pStyle w:val="Compact"/>
        <w:numPr>
          <w:ilvl w:val="0"/>
          <w:numId w:val="1009"/>
        </w:numPr>
      </w:pPr>
      <w:r>
        <w:t xml:space="preserve">State public-records statutes reach police, aviation, emergency management, university, and National</w:t>
      </w:r>
      <w:r>
        <w:t xml:space="preserve"> </w:t>
      </w:r>
      <w:r>
        <w:t xml:space="preserve">Guard (state status) records (</w:t>
      </w:r>
      <w:hyperlink r:id="rId24">
        <w:r>
          <w:rPr>
            <w:rStyle w:val="Hyperlink"/>
          </w:rPr>
          <w:t xml:space="preserve">Form A4-2</w:t>
        </w:r>
      </w:hyperlink>
      <w:r>
        <w:t xml:space="preserve">). Records a state received from a federal agency may be withheld</w:t>
      </w:r>
      <w:r>
        <w:t xml:space="preserve"> </w:t>
      </w:r>
      <w:r>
        <w:t xml:space="preserve">under state exemptions for records protected by federal law; ask for the federal basis and for release</w:t>
      </w:r>
      <w:r>
        <w:t xml:space="preserve"> </w:t>
      </w:r>
      <w:r>
        <w:t xml:space="preserve">of state-created portions.</w:t>
      </w:r>
    </w:p>
    <w:p>
      <w:pPr>
        <w:pStyle w:val="Compact"/>
        <w:numPr>
          <w:ilvl w:val="0"/>
          <w:numId w:val="1009"/>
        </w:numPr>
      </w:pPr>
      <w:r>
        <w:t xml:space="preserve">Foreign access laws (U.K. FOIA 2000 with ss. 23, 24, 26, 27 exemptions; Canada’s Access to Information</w:t>
      </w:r>
      <w:r>
        <w:t xml:space="preserve"> </w:t>
      </w:r>
      <w:r>
        <w:t xml:space="preserve">Act; Australia’s FOI Act 1982) and foreign archives (The National Archives’ MoD UFO files; France’s</w:t>
      </w:r>
      <w:r>
        <w:t xml:space="preserve"> </w:t>
      </w:r>
      <w:r>
        <w:t xml:space="preserve">GEIPAN) can supply records about U.S.-related events that U.S. agencies withhold.</w:t>
      </w:r>
      <w:r>
        <w:t xml:space="preserve"> </w:t>
      </w:r>
      <w:hyperlink r:id="rId39">
        <w:r>
          <w:rPr>
            <w:rStyle w:val="Hyperlink"/>
          </w:rPr>
          <w:t xml:space="preserve">Issue F6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litigation-strategy"/>
    <w:p>
      <w:pPr>
        <w:pStyle w:val="Heading2"/>
      </w:pPr>
      <w:r>
        <w:t xml:space="preserve">6. Litigation strategy</w:t>
      </w:r>
    </w:p>
    <w:p>
      <w:pPr>
        <w:pStyle w:val="Compact"/>
        <w:numPr>
          <w:ilvl w:val="0"/>
          <w:numId w:val="1010"/>
        </w:numPr>
      </w:pPr>
      <w:r>
        <w:t xml:space="preserve">Exhaust (or wait out the statutory period), then file in D.D.C. Use</w:t>
      </w:r>
      <w:r>
        <w:t xml:space="preserve"> </w:t>
      </w:r>
      <w:hyperlink r:id="rId23">
        <w:r>
          <w:rPr>
            <w:rStyle w:val="Hyperlink"/>
          </w:rPr>
          <w:t xml:space="preserve">Form A3-1</w:t>
        </w:r>
      </w:hyperlink>
      <w:r>
        <w:t xml:space="preserve"> </w:t>
      </w:r>
      <w:r>
        <w:t xml:space="preserve">to pair FOIA with</w:t>
      </w:r>
      <w:r>
        <w:t xml:space="preserve"> </w:t>
      </w:r>
      <w:r>
        <w:t xml:space="preserve">narrowly framed APA counts under the Records Collection.</w:t>
      </w:r>
    </w:p>
    <w:p>
      <w:pPr>
        <w:pStyle w:val="Compact"/>
        <w:numPr>
          <w:ilvl w:val="0"/>
          <w:numId w:val="1010"/>
        </w:numPr>
      </w:pPr>
      <w:r>
        <w:t xml:space="preserve">Seek an early order requiring the agency to identify custodians, record systems, and search terms.</w:t>
      </w:r>
    </w:p>
    <w:p>
      <w:pPr>
        <w:pStyle w:val="Compact"/>
        <w:numPr>
          <w:ilvl w:val="0"/>
          <w:numId w:val="1010"/>
        </w:numPr>
      </w:pPr>
      <w:r>
        <w:t xml:space="preserve">Attack generic declarations under</w:t>
      </w:r>
      <w:r>
        <w:t xml:space="preserve"> </w:t>
      </w:r>
      <w:r>
        <w:rPr>
          <w:iCs/>
          <w:i/>
        </w:rPr>
        <w:t xml:space="preserve">Slaughter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Challenge Glomar responses only with official, specific, matching acknowledgments.</w:t>
      </w:r>
    </w:p>
    <w:p>
      <w:pPr>
        <w:pStyle w:val="Compact"/>
        <w:numPr>
          <w:ilvl w:val="0"/>
          <w:numId w:val="1010"/>
        </w:numPr>
      </w:pPr>
      <w:r>
        <w:t xml:space="preserve">Ask for in camera review where segregability is in doubt.</w:t>
      </w:r>
    </w:p>
    <w:p>
      <w:pPr>
        <w:pStyle w:val="Compact"/>
        <w:numPr>
          <w:ilvl w:val="0"/>
          <w:numId w:val="1010"/>
        </w:numPr>
      </w:pPr>
      <w:r>
        <w:t xml:space="preserve">Run MDR in parallel for records not in suit.</w:t>
      </w:r>
    </w:p>
    <w:p>
      <w:pPr>
        <w:pStyle w:val="Compact"/>
        <w:numPr>
          <w:ilvl w:val="0"/>
          <w:numId w:val="1010"/>
        </w:numPr>
      </w:pPr>
      <w:r>
        <w:t xml:space="preserve">If an agency repeatedly delays or refuses UAP requests in the same way, plead a policy-or-practice claim in</w:t>
      </w:r>
      <w:r>
        <w:t xml:space="preserve"> </w:t>
      </w:r>
      <w:r>
        <w:t xml:space="preserve">addition to the individual request. A court may enjoin an agency practice of unjustified delay even after the</w:t>
      </w:r>
      <w:r>
        <w:t xml:space="preserve"> </w:t>
      </w:r>
      <w:r>
        <w:t xml:space="preserve">records at issue have been released.</w:t>
      </w:r>
      <w:r>
        <w:t xml:space="preserve"> </w:t>
      </w:r>
      <w:r>
        <w:rPr>
          <w:iCs/>
          <w:i/>
        </w:rPr>
        <w:t xml:space="preserve">Payne Enterprises, Inc. v. United States</w:t>
      </w:r>
      <w:r>
        <w:t xml:space="preserve">, 837 F.2d 486 (D.C. Cir.</w:t>
      </w:r>
      <w:r>
        <w:t xml:space="preserve"> </w:t>
      </w:r>
      <w:r>
        <w:t xml:space="preserve">1988).</w:t>
      </w:r>
    </w:p>
    <w:p>
      <w:pPr>
        <w:pStyle w:val="Compact"/>
        <w:numPr>
          <w:ilvl w:val="0"/>
          <w:numId w:val="1010"/>
        </w:numPr>
      </w:pPr>
      <w:r>
        <w:t xml:space="preserve">Coordinate with congressional offices; records released to Congress and placed in the public record</w:t>
      </w:r>
      <w:r>
        <w:t xml:space="preserve"> </w:t>
      </w:r>
      <w:r>
        <w:t xml:space="preserve">become official acknowledgments.</w:t>
      </w:r>
    </w:p>
    <w:p>
      <w:r>
        <w:pict>
          <v:rect style="width:0;height:1.5pt" o:hralign="center" o:hrstd="t" o:hr="t"/>
        </w:pict>
      </w:r>
    </w:p>
    <w:bookmarkEnd w:id="41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Getting UAP Records: FOIA, Mandatory Declassification Review, the Records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6" Type="http://schemas.openxmlformats.org/officeDocument/2006/relationships/hyperlink" Target="https://nhilaw.com/forms/a2-1.html" TargetMode="External"/><Relationship Id="rId23" Type="http://schemas.openxmlformats.org/officeDocument/2006/relationships/hyperlink" Target="https://nhilaw.com/forms/a3-1.html" TargetMode="External"/><Relationship Id="rId24" Type="http://schemas.openxmlformats.org/officeDocument/2006/relationships/hyperlink" Target="https://nhilaw.com/forms/a4-2.html" TargetMode="External"/><Relationship Id="rId32" Type="http://schemas.openxmlformats.org/officeDocument/2006/relationships/hyperlink" Target="https://nhilaw.com/forms/f4-1.html" TargetMode="External"/><Relationship Id="rId22" Type="http://schemas.openxmlformats.org/officeDocument/2006/relationships/hyperlink" Target="https://nhilaw.com/issues/a3.html" TargetMode="External"/><Relationship Id="rId39" Type="http://schemas.openxmlformats.org/officeDocument/2006/relationships/hyperlink" Target="https://nhilaw.com/issues/f6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6" Type="http://schemas.openxmlformats.org/officeDocument/2006/relationships/hyperlink" Target="https://nhilaw.com/forms/a2-1.html" TargetMode="External"/><Relationship Id="rId23" Type="http://schemas.openxmlformats.org/officeDocument/2006/relationships/hyperlink" Target="https://nhilaw.com/forms/a3-1.html" TargetMode="External"/><Relationship Id="rId24" Type="http://schemas.openxmlformats.org/officeDocument/2006/relationships/hyperlink" Target="https://nhilaw.com/forms/a4-2.html" TargetMode="External"/><Relationship Id="rId32" Type="http://schemas.openxmlformats.org/officeDocument/2006/relationships/hyperlink" Target="https://nhilaw.com/forms/f4-1.html" TargetMode="External"/><Relationship Id="rId22" Type="http://schemas.openxmlformats.org/officeDocument/2006/relationships/hyperlink" Target="https://nhilaw.com/issues/a3.html" TargetMode="External"/><Relationship Id="rId39" Type="http://schemas.openxmlformats.org/officeDocument/2006/relationships/hyperlink" Target="https://nhilaw.com/issues/f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UAP Records: FOIA, Mandatory Declassification Review, the Records Collection, and State Law</dc:title>
  <dc:creator>nhilaw.com</dc:creator>
  <cp:keywords/>
  <dcterms:created xsi:type="dcterms:W3CDTF">2026-10-19T03:12:24Z</dcterms:created>
  <dcterms:modified xsi:type="dcterms:W3CDTF">2026-10-19T03:12:24Z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nhilaw.com/issues/b1.html</vt:lpwstr>
  </property>
</Properties>
</file>