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suppressLineNumbers/>
      </w:pPr>
      <w:r>
        <w:rPr>
          <w:smallCaps/>
          <w:color w:val="1F6E6E"/>
          <w:sz w:val="18"/>
        </w:rPr>
        <w:t xml:space="preserve">nhilaw.com sample document</w:t>
      </w:r>
    </w:p>
    <w:bookmarkStart w:id="22" w:name="X1fce4211f8333f15803bee9d1d4a1820601a57f"/>
    <w:p>
      <w:pPr>
        <w:pStyle w:val="Heading1"/>
        <w:suppressLineNumbers/>
      </w:pPr>
      <w:r>
        <w:t xml:space="preserve">Form B3-1. Model Statute: Unidentified Anomalous Phenomena Truth and Reconciliation Commission Act</w:t>
      </w:r>
    </w:p>
    <w:p>
      <w:pPr>
        <w:pStyle w:val="FirstParagraph"/>
        <w:suppressLineNumbers/>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https://nhilaw.com/forms/b3-1.html</w:t>
      </w:r>
    </w:p>
    <w:p>
      <w:pPr>
        <w:pStyle w:val="BodyText"/>
        <w:suppressLineNumbers/>
        <w:spacing w:after="160" w:line="259" w:lineRule="auto"/>
      </w:pPr>
      <w:r>
        <w:rPr>
          <w:bCs/>
          <w:b/>
        </w:rPr>
        <w:t xml:space="preserve">When to use.</w:t>
      </w:r>
      <w:r>
        <w:t xml:space="preserve"> </w:t>
      </w:r>
      <w:r>
        <w:t xml:space="preserve">Legislators and advocates drafting a truth commission with immunity and redress provisions.</w:t>
      </w:r>
      <w:r>
        <w:t xml:space="preserve"> </w:t>
      </w:r>
      <w:r>
        <w:rPr>
          <w:bCs/>
          <w:b/>
        </w:rPr>
        <w:t xml:space="preserve">Not for:</w:t>
      </w:r>
      <w:r>
        <w:t xml:space="preserve"> </w:t>
      </w:r>
      <w:r>
        <w:t xml:space="preserve">A records review board alone (the UAP Disclosure Act).</w:t>
      </w:r>
    </w:p>
    <w:p>
      <w:pPr>
        <w:pStyle w:val="BodyText"/>
        <w:suppressLineNumbers/>
        <w:spacing w:after="160" w:line="259" w:lineRule="auto"/>
      </w:pPr>
      <w:r>
        <w:rPr>
          <w:bCs/>
          <w:b/>
        </w:rPr>
        <w:t xml:space="preserve">Deadlines.</w:t>
      </w:r>
      <w:r>
        <w:t xml:space="preserve"> </w:t>
      </w:r>
      <w:r>
        <w:t xml:space="preserve">None.</w:t>
      </w:r>
    </w:p>
    <w:p>
      <w:pPr>
        <w:pStyle w:val="BodyText"/>
        <w:suppressLineNumbers/>
        <w:spacing w:lineRule="exact" w:line="40" w:before="0" w:after="0"/>
        <w:sectPr>
          <w:headerReference w:type="default" r:id="rId9"/>
          <w:footerReference w:type="default" r:id="rId10"/>
          <w:pgSz w:h="15840" w:w="12240"/>
          <w:pgMar w:bottom="1440" w:left="1440" w:right="1440" w:top="1440" w:header="720" w:footer="576"/>
        </w:sectPr>
      </w:pPr>
    </w:p>
    <w:tbl>
      <w:tblPr>
        <w:tblW w:type="auto" w:w="0"/>
        <w:tblLook w:firstColumn="1" w:firstRow="1" w:lastColumn="0" w:lastRow="0" w:noHBand="0" w:noVBand="1" w:val="04A0"/>
      </w:tblPr>
      <w:tblGrid>
        <w:gridCol w:w="4680"/>
        <w:gridCol w:w="4680"/>
      </w:tblGrid>
      <w:tr>
        <w:tc>
          <w:tcPr>
            <w:tcW w:type="dxa" w:w="4608"/>
          </w:tcPr>
          <w:p>
            <w:r>
              <w:rPr>
                <w:rFonts w:ascii="Century Schoolbook" w:hAnsi="Century Schoolbook" w:cs="Century Schoolbook" w:eastAsia="Century Schoolbook"/>
                <w:smallCaps/>
                <w:sz w:val="24"/>
              </w:rPr>
              <w:t>[___]TH CONGRESS</w:t>
            </w:r>
          </w:p>
          <w:p>
            <w:r>
              <w:rPr>
                <w:rFonts w:ascii="Century Schoolbook" w:hAnsi="Century Schoolbook" w:cs="Century Schoolbook" w:eastAsia="Century Schoolbook"/>
                <w:smallCaps/>
                <w:sz w:val="24"/>
              </w:rPr>
              <w:t>[___] SESSION</w:t>
            </w:r>
          </w:p>
        </w:tc>
        <w:tc>
          <w:tcPr>
            <w:tcW w:type="dxa" w:w="4752"/>
          </w:tcPr>
          <w:p>
            <w:pPr>
              <w:jc w:val="right"/>
            </w:pPr>
            <w:r>
              <w:rPr>
                <w:rFonts w:ascii="Century Schoolbook" w:hAnsi="Century Schoolbook" w:cs="Century Schoolbook" w:eastAsia="Century Schoolbook"/>
                <w:b/>
                <w:sz w:val="52"/>
              </w:rPr>
              <w:t>H. R. [____]</w:t>
            </w:r>
          </w:p>
        </w:tc>
      </w:tr>
    </w:tbl>
    <w:p>
      <w:pPr>
        <w:suppressLineNumbers/>
      </w:pPr>
    </w:p>
    <w:p>
      <w:pPr>
        <w:suppressLineNumbers/>
        <w:pBdr>
          <w:bottom w:val="single" w:sz="8" w:space="6" w:color="000000"/>
        </w:pBdr>
        <w:spacing w:before="200" w:after="200"/>
        <w:jc w:val="center"/>
      </w:pPr>
      <w:r>
        <w:rPr>
          <w:rFonts w:ascii="Century Schoolbook" w:hAnsi="Century Schoolbook" w:cs="Century Schoolbook" w:eastAsia="Century Schoolbook"/>
          <w:b w:val="0"/>
          <w:i w:val="0"/>
          <w:smallCaps w:val="0"/>
          <w:sz w:val="22"/>
        </w:rPr>
        <w:t>To establish the UAP Truth and Reconciliation Commission, and for other purposes.</w:t>
      </w:r>
    </w:p>
    <w:p>
      <w:pPr>
        <w:suppressLineNumbers/>
        <w:spacing w:before="280" w:after="160"/>
        <w:jc w:val="center"/>
      </w:pPr>
      <w:r>
        <w:rPr>
          <w:rFonts w:ascii="Century Schoolbook" w:hAnsi="Century Schoolbook" w:cs="Century Schoolbook" w:eastAsia="Century Schoolbook"/>
          <w:b w:val="0"/>
          <w:i w:val="0"/>
          <w:smallCaps w:val="0"/>
          <w:sz w:val="24"/>
        </w:rPr>
        <w:t>IN THE HOUSE OF REPRESENTATIVES</w:t>
      </w:r>
    </w:p>
    <w:p>
      <w:pPr>
        <w:suppressLineNumbers/>
        <w:spacing w:before="0" w:after="160"/>
        <w:jc w:val="center"/>
      </w:pPr>
      <w:r>
        <w:rPr>
          <w:rFonts w:ascii="Century Schoolbook" w:hAnsi="Century Schoolbook" w:cs="Century Schoolbook" w:eastAsia="Century Schoolbook"/>
          <w:b w:val="0"/>
          <w:i w:val="0"/>
          <w:smallCaps w:val="0"/>
          <w:sz w:val="22"/>
        </w:rPr>
        <w:t>[MONTH DAY], [YEAR]</w:t>
      </w:r>
    </w:p>
    <w:p>
      <w:pPr>
        <w:suppressLineNumbers/>
        <w:pBdr>
          <w:bottom w:val="single" w:sz="8" w:space="6" w:color="000000"/>
        </w:pBdr>
        <w:spacing w:before="0" w:after="200"/>
        <w:ind w:left="720"/>
      </w:pPr>
      <w:r>
        <w:rPr>
          <w:rFonts w:ascii="Century Schoolbook" w:hAnsi="Century Schoolbook" w:cs="Century Schoolbook" w:eastAsia="Century Schoolbook"/>
          <w:smallCaps/>
          <w:sz w:val="22"/>
        </w:rPr>
        <w:t>[Mr./Ms. ________]</w:t>
      </w:r>
      <w:r>
        <w:rPr>
          <w:rFonts w:ascii="Century Schoolbook" w:hAnsi="Century Schoolbook" w:cs="Century Schoolbook" w:eastAsia="Century Schoolbook"/>
          <w:sz w:val="22"/>
        </w:rPr>
        <w:t xml:space="preserve"> (for [himself/herself and ________]) introduced the following bill; which was referred to the Committee on [________]</w:t>
      </w:r>
    </w:p>
    <w:p>
      <w:pPr>
        <w:suppressLineNumbers/>
        <w:spacing w:before="440" w:after="200"/>
        <w:jc w:val="center"/>
      </w:pPr>
      <w:r>
        <w:rPr>
          <w:rFonts w:ascii="Century Schoolbook" w:hAnsi="Century Schoolbook" w:cs="Century Schoolbook" w:eastAsia="Century Schoolbook"/>
          <w:b/>
          <w:i w:val="0"/>
          <w:smallCaps w:val="0"/>
          <w:sz w:val="52"/>
        </w:rPr>
        <w:t>A BILL</w:t>
      </w:r>
    </w:p>
    <w:p>
      <w:pPr>
        <w:suppressLineNumbers/>
        <w:pBdr>
          <w:bottom w:val="single" w:sz="8" w:space="6" w:color="000000"/>
        </w:pBdr>
        <w:spacing w:before="0" w:after="240"/>
        <w:ind w:left="1152" w:right="1152"/>
        <w:jc w:val="center"/>
      </w:pPr>
      <w:r>
        <w:rPr>
          <w:rFonts w:ascii="Century Schoolbook" w:hAnsi="Century Schoolbook" w:cs="Century Schoolbook" w:eastAsia="Century Schoolbook"/>
          <w:b w:val="0"/>
          <w:i w:val="0"/>
          <w:smallCaps w:val="0"/>
          <w:sz w:val="24"/>
        </w:rPr>
        <w:t>To establish the UAP Truth and Reconciliation Commission, and for other purposes.</w:t>
      </w:r>
    </w:p>
    <w:p>
      <w:pPr>
        <w:suppressLineNumbers/>
        <w:spacing w:before="0" w:after="0"/>
      </w:pPr>
      <w:r>
        <w:br w:type="page"/>
      </w:r>
    </w:p>
    <w:p>
      <w:pPr>
        <w:spacing w:lineRule="exact" w:line="480" w:before="0" w:after="0"/>
        <w:ind w:firstLine="720"/>
      </w:pPr>
      <w:r>
        <w:rPr>
          <w:rFonts w:ascii="Century Schoolbook" w:hAnsi="Century Schoolbook" w:cs="Century Schoolbook" w:eastAsia="Century Schoolbook"/>
          <w:b w:val="0"/>
          <w:i w:val="0"/>
          <w:sz w:val="24"/>
        </w:rPr>
        <w:t>Be it enacted by the Senate and House of Representatives of the United States of America in Congress assembled,</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SECTION 1. SHORT TITLE.</w:t>
      </w:r>
    </w:p>
    <w:p>
      <w:pPr>
        <w:spacing w:lineRule="exact" w:line="480" w:before="0" w:after="0"/>
        <w:ind w:firstLine="720"/>
        <w:jc w:val="both"/>
      </w:pPr>
      <w:r/>
      <w:r>
        <w:t xml:space="preserve">This Act may be cited as the</w:t>
      </w:r>
      <w:r>
        <w:t xml:space="preserve"> </w:t>
      </w:r>
      <w:r>
        <w:t xml:space="preserve">“</w:t>
      </w:r>
      <w:r>
        <w:t xml:space="preserve">UAP Truth and Reconciliation Commission Act.</w:t>
      </w:r>
      <w:r>
        <w:t xml:space="preserve">”</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2. FINDINGS AND PURPOSES.</w:t>
      </w:r>
    </w:p>
    <w:p>
      <w:pPr>
        <w:pStyle w:val="BodyText"/>
        <w:spacing w:lineRule="exact" w:line="480" w:before="0" w:after="0"/>
        <w:ind w:left="0" w:firstLine="720"/>
        <w:jc w:val="both"/>
      </w:pPr>
      <w:r>
        <w:t xml:space="preserve">(a) Findings. Congress finds the following:</w:t>
      </w:r>
    </w:p>
    <w:p>
      <w:pPr>
        <w:pStyle w:val="BodyText"/>
        <w:spacing w:lineRule="exact" w:line="480" w:before="0" w:after="0"/>
        <w:ind w:left="720" w:firstLine="720"/>
        <w:jc w:val="both"/>
      </w:pPr>
      <w:r>
        <w:t xml:space="preserve">(1) Since at least 1947 the Federal Government has received reports of unidentified anomalous phenomena from</w:t>
      </w:r>
      <w:r>
        <w:t xml:space="preserve"> </w:t>
      </w:r>
      <w:r>
        <w:t xml:space="preserve">military personnel, civil aviators, and the public, and has studied them through programs whose existence and</w:t>
      </w:r>
      <w:r>
        <w:t xml:space="preserve"> </w:t>
      </w:r>
      <w:r>
        <w:t xml:space="preserve">results were not fully disclosed to Congress or the public.</w:t>
      </w:r>
    </w:p>
    <w:p>
      <w:pPr>
        <w:pStyle w:val="BodyText"/>
        <w:spacing w:lineRule="exact" w:line="480" w:before="0" w:after="0"/>
        <w:ind w:left="720" w:firstLine="720"/>
        <w:jc w:val="both"/>
      </w:pPr>
      <w:r>
        <w:t xml:space="preserve">(2) Former officials have testified under oath before committees of Congress that the Government and its</w:t>
      </w:r>
      <w:r>
        <w:t xml:space="preserve"> </w:t>
      </w:r>
      <w:r>
        <w:t xml:space="preserve">contractors have operated programs to retrieve and exploit technologies of unknown origin, that those programs</w:t>
      </w:r>
      <w:r>
        <w:t xml:space="preserve"> </w:t>
      </w:r>
      <w:r>
        <w:t xml:space="preserve">were withheld from the committees with jurisdiction over them, and that persons who reported them suffered</w:t>
      </w:r>
      <w:r>
        <w:t xml:space="preserve"> </w:t>
      </w:r>
      <w:r>
        <w:t xml:space="preserve">reprisal.</w:t>
      </w:r>
    </w:p>
    <w:p>
      <w:pPr>
        <w:pStyle w:val="BodyText"/>
        <w:spacing w:lineRule="exact" w:line="480" w:before="0" w:after="0"/>
        <w:ind w:left="720" w:firstLine="720"/>
        <w:jc w:val="both"/>
      </w:pPr>
      <w:r>
        <w:t xml:space="preserve">(3) Congress has found it necessary to enact statutes that require the reporting of unidentified anomalous</w:t>
      </w:r>
      <w:r>
        <w:t xml:space="preserve"> </w:t>
      </w:r>
      <w:r>
        <w:t xml:space="preserve">phenomena, protect persons who disclose information about them, create a records collection at the National</w:t>
      </w:r>
      <w:r>
        <w:t xml:space="preserve"> </w:t>
      </w:r>
      <w:r>
        <w:t xml:space="preserve">Archives, and bar the obligation of funds for unreported programs (section 1673 of the James M. Inhofe National</w:t>
      </w:r>
      <w:r>
        <w:t xml:space="preserve"> </w:t>
      </w:r>
      <w:r>
        <w:t xml:space="preserve">Defense Authorization Act for Fiscal Year 2023; sections 1687 and 1841 through 1843 of the National Defense</w:t>
      </w:r>
      <w:r>
        <w:t xml:space="preserve"> </w:t>
      </w:r>
      <w:r>
        <w:t xml:space="preserve">Authorization Act for Fiscal Year 2024).</w:t>
      </w:r>
    </w:p>
    <w:p>
      <w:pPr>
        <w:pStyle w:val="BodyText"/>
        <w:spacing w:lineRule="exact" w:line="480" w:before="0" w:after="0"/>
        <w:ind w:left="720" w:firstLine="720"/>
        <w:jc w:val="both"/>
      </w:pPr>
      <w:r>
        <w:t xml:space="preserve">(4) The offices established to receive such information have not produced a complete account, and their reports</w:t>
      </w:r>
      <w:r>
        <w:t xml:space="preserve"> </w:t>
      </w:r>
      <w:r>
        <w:t xml:space="preserve">have been disputed by witnesses whose accounts they addressed.</w:t>
      </w:r>
    </w:p>
    <w:p>
      <w:pPr>
        <w:pStyle w:val="BodyText"/>
        <w:spacing w:lineRule="exact" w:line="480" w:before="0" w:after="0"/>
        <w:ind w:left="720" w:firstLine="720"/>
        <w:jc w:val="both"/>
      </w:pPr>
      <w:r>
        <w:t xml:space="preserve">(5) Witnesses with knowledge of such programs are bound by nondisclosure agreements and face potential criminal,</w:t>
      </w:r>
      <w:r>
        <w:t xml:space="preserve"> </w:t>
      </w:r>
      <w:r>
        <w:t xml:space="preserve">civil, and administrative liability, and many will not come forward without a lawful process that addresses that</w:t>
      </w:r>
      <w:r>
        <w:t xml:space="preserve"> </w:t>
      </w:r>
      <w:r>
        <w:t xml:space="preserve">exposure.</w:t>
      </w:r>
    </w:p>
    <w:p>
      <w:pPr>
        <w:pStyle w:val="BodyText"/>
        <w:spacing w:lineRule="exact" w:line="480" w:before="0" w:after="0"/>
        <w:ind w:left="720" w:firstLine="720"/>
        <w:jc w:val="both"/>
      </w:pPr>
      <w:r>
        <w:t xml:space="preserve">(6) A complete public account, with lawful protection for witnesses and redress for persons harmed, serves the</w:t>
      </w:r>
      <w:r>
        <w:t xml:space="preserve"> </w:t>
      </w:r>
      <w:r>
        <w:t xml:space="preserve">constitutional responsibilities of Congress over appropriations and the armed forces and the public interest in</w:t>
      </w:r>
      <w:r>
        <w:t xml:space="preserve"> </w:t>
      </w:r>
      <w:r>
        <w:t xml:space="preserve">knowing the history of the Government’s knowledge of and involvement with unidentified anomalous phenomena.</w:t>
      </w:r>
    </w:p>
    <w:p>
      <w:pPr>
        <w:pStyle w:val="BodyText"/>
        <w:spacing w:lineRule="exact" w:line="480" w:before="0" w:after="0"/>
        <w:ind w:left="0" w:firstLine="720"/>
        <w:jc w:val="both"/>
      </w:pPr>
      <w:r>
        <w:t xml:space="preserve">(b) Purposes. To establish a complete and accurate public account of the Federal Government’s knowledge</w:t>
      </w:r>
      <w:r>
        <w:t xml:space="preserve"> </w:t>
      </w:r>
      <w:r>
        <w:t xml:space="preserve">of and activities relating to unidentified anomalous phenomena, technologies of unknown origin, and</w:t>
      </w:r>
      <w:r>
        <w:t xml:space="preserve"> </w:t>
      </w:r>
      <w:r>
        <w:t xml:space="preserve">non-human intelligence; to identify unlawful conduct and its consequences; to provide redress to persons</w:t>
      </w:r>
      <w:r>
        <w:t xml:space="preserve"> </w:t>
      </w:r>
      <w:r>
        <w:t xml:space="preserve">harmed; and to recommend reforms.</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3. ESTABLISHMENT.</w:t>
      </w:r>
    </w:p>
    <w:p>
      <w:pPr>
        <w:spacing w:lineRule="exact" w:line="480" w:before="0" w:after="0"/>
        <w:ind w:firstLine="720"/>
        <w:jc w:val="both"/>
      </w:pPr>
      <w:r/>
      <w:r>
        <w:t xml:space="preserve">There is established as an independent agency the Unidentified Anomalous</w:t>
      </w:r>
      <w:r>
        <w:t xml:space="preserve"> </w:t>
      </w:r>
      <w:r>
        <w:t xml:space="preserve">Phenomena Truth and Reconciliation Commission (the</w:t>
      </w:r>
      <w:r>
        <w:t xml:space="preserve"> </w:t>
      </w:r>
      <w:r>
        <w:t xml:space="preserve">“</w:t>
      </w:r>
      <w:r>
        <w:t xml:space="preserve">Commission</w:t>
      </w:r>
      <w:r>
        <w:t xml:space="preserve">”</w:t>
      </w:r>
      <w:r>
        <w:t xml:space="preserve">).</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4. MEMBERSHIP.</w:t>
      </w:r>
    </w:p>
    <w:p>
      <w:pPr>
        <w:pStyle w:val="BodyText"/>
        <w:spacing w:lineRule="exact" w:line="480" w:before="0" w:after="0"/>
        <w:ind w:left="0" w:firstLine="720"/>
        <w:jc w:val="both"/>
      </w:pPr>
      <w:r>
        <w:t xml:space="preserve">(a) Nine members appointed by the President by and with the advice and consent of the Senate, not more</w:t>
      </w:r>
      <w:r>
        <w:t xml:space="preserve"> </w:t>
      </w:r>
      <w:r>
        <w:t xml:space="preserve">than five from the same political party, after considering recommendations from the majority and</w:t>
      </w:r>
      <w:r>
        <w:t xml:space="preserve"> </w:t>
      </w:r>
      <w:r>
        <w:t xml:space="preserve">minority leaders of each House.</w:t>
      </w:r>
    </w:p>
    <w:p>
      <w:pPr>
        <w:pStyle w:val="BodyText"/>
        <w:spacing w:lineRule="exact" w:line="480" w:before="0" w:after="0"/>
        <w:ind w:left="0" w:firstLine="720"/>
        <w:jc w:val="both"/>
      </w:pPr>
      <w:r>
        <w:t xml:space="preserve">(b) Qualifications. No member may have had any involvement with a legacy program or controlling authority</w:t>
      </w:r>
      <w:r>
        <w:t xml:space="preserve"> </w:t>
      </w:r>
      <w:r>
        <w:t xml:space="preserve">(as defined in section 12).</w:t>
      </w:r>
    </w:p>
    <w:p>
      <w:pPr>
        <w:pStyle w:val="BodyText"/>
        <w:spacing w:lineRule="exact" w:line="480" w:before="0" w:after="0"/>
        <w:ind w:left="0" w:firstLine="720"/>
        <w:jc w:val="both"/>
      </w:pPr>
      <w:r>
        <w:t xml:space="preserve">(c) Clearances. Members and staff shall be processed for clearances on an expedited basis and shall be</w:t>
      </w:r>
      <w:r>
        <w:t xml:space="preserve"> </w:t>
      </w:r>
      <w:r>
        <w:t xml:space="preserve">granted access to all information necessary to the Commission’s work, including special access and</w:t>
      </w:r>
      <w:r>
        <w:t xml:space="preserve"> </w:t>
      </w:r>
      <w:r>
        <w:t xml:space="preserve">controlled access programs, notwithstanding section 119 of title 10, United States Code, or any</w:t>
      </w:r>
      <w:r>
        <w:t xml:space="preserve"> </w:t>
      </w:r>
      <w:r>
        <w:t xml:space="preserve">regulation or directive limiting access.</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5. DUTIES.</w:t>
      </w:r>
    </w:p>
    <w:p>
      <w:pPr>
        <w:spacing w:lineRule="exact" w:line="480" w:before="0" w:after="0"/>
        <w:ind w:firstLine="720"/>
        <w:jc w:val="both"/>
      </w:pPr>
      <w:r/>
      <w:r>
        <w:t xml:space="preserve">The Commission shall investigate and report on—</w:t>
      </w:r>
    </w:p>
    <w:p>
      <w:pPr>
        <w:pStyle w:val="BodyText"/>
        <w:spacing w:lineRule="exact" w:line="480" w:before="0" w:after="0"/>
        <w:ind w:left="720" w:firstLine="720"/>
        <w:jc w:val="both"/>
      </w:pPr>
      <w:r>
        <w:t xml:space="preserve">(1) the history of Federal Government and contractor programs relating to unidentified anomalous</w:t>
      </w:r>
      <w:r>
        <w:t xml:space="preserve"> </w:t>
      </w:r>
      <w:r>
        <w:t xml:space="preserve">phenomena, including collection, retrieval, exploitation, reverse engineering, and study of technologies</w:t>
      </w:r>
      <w:r>
        <w:t xml:space="preserve"> </w:t>
      </w:r>
      <w:r>
        <w:t xml:space="preserve">of unknown origin and biological evidence of non-human intelligence;</w:t>
      </w:r>
    </w:p>
    <w:p>
      <w:pPr>
        <w:pStyle w:val="BodyText"/>
        <w:spacing w:lineRule="exact" w:line="480" w:before="0" w:after="0"/>
        <w:ind w:left="720" w:firstLine="720"/>
        <w:jc w:val="both"/>
      </w:pPr>
      <w:r>
        <w:t xml:space="preserve">(2) the legal authorities under which such programs operated, including any directive, finding, or</w:t>
      </w:r>
      <w:r>
        <w:t xml:space="preserve"> </w:t>
      </w:r>
      <w:r>
        <w:t xml:space="preserve">opinion, and whether such programs complied with law, including laws on appropriations and reporting to</w:t>
      </w:r>
      <w:r>
        <w:t xml:space="preserve"> </w:t>
      </w:r>
      <w:r>
        <w:t xml:space="preserve">Congress;</w:t>
      </w:r>
    </w:p>
    <w:p>
      <w:pPr>
        <w:pStyle w:val="BodyText"/>
        <w:spacing w:lineRule="exact" w:line="480" w:before="0" w:after="0"/>
        <w:ind w:left="720" w:firstLine="720"/>
        <w:jc w:val="both"/>
      </w:pPr>
      <w:r>
        <w:t xml:space="preserve">(3) actions taken against persons who reported or sought to report information relating to such</w:t>
      </w:r>
      <w:r>
        <w:t xml:space="preserve"> </w:t>
      </w:r>
      <w:r>
        <w:t xml:space="preserve">programs;</w:t>
      </w:r>
    </w:p>
    <w:p>
      <w:pPr>
        <w:pStyle w:val="BodyText"/>
        <w:spacing w:lineRule="exact" w:line="480" w:before="0" w:after="0"/>
        <w:ind w:left="720" w:firstLine="720"/>
        <w:jc w:val="both"/>
      </w:pPr>
      <w:r>
        <w:t xml:space="preserve">(4) any harm to any person, including any injury, death, detention, or violation of rights, arising from</w:t>
      </w:r>
      <w:r>
        <w:t xml:space="preserve"> </w:t>
      </w:r>
      <w:r>
        <w:t xml:space="preserve">such programs; and</w:t>
      </w:r>
    </w:p>
    <w:p>
      <w:pPr>
        <w:pStyle w:val="BodyText"/>
        <w:spacing w:lineRule="exact" w:line="480" w:before="0" w:after="0"/>
        <w:ind w:left="720" w:firstLine="720"/>
        <w:jc w:val="both"/>
      </w:pPr>
      <w:r>
        <w:t xml:space="preserve">(5) recommendations for legislation, executive action, and redress.</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6. POWERS.</w:t>
      </w:r>
    </w:p>
    <w:p>
      <w:pPr>
        <w:pStyle w:val="BodyText"/>
        <w:spacing w:lineRule="exact" w:line="480" w:before="0" w:after="0"/>
        <w:ind w:left="0" w:firstLine="720"/>
        <w:jc w:val="both"/>
      </w:pPr>
      <w:r>
        <w:t xml:space="preserve">(a) Hearings. The Commission may hold public and closed hearings, take testimony under oath, and receive</w:t>
      </w:r>
      <w:r>
        <w:t xml:space="preserve"> </w:t>
      </w:r>
      <w:r>
        <w:t xml:space="preserve">evidence.</w:t>
      </w:r>
    </w:p>
    <w:p>
      <w:pPr>
        <w:pStyle w:val="BodyText"/>
        <w:spacing w:lineRule="exact" w:line="480" w:before="0" w:after="0"/>
        <w:ind w:left="0" w:firstLine="720"/>
        <w:jc w:val="both"/>
      </w:pPr>
      <w:r>
        <w:t xml:space="preserve">(b) Subpoenas. The Commission may issue subpoenas for testimony and records, enforceable by the United</w:t>
      </w:r>
      <w:r>
        <w:t xml:space="preserve"> </w:t>
      </w:r>
      <w:r>
        <w:t xml:space="preserve">States District Court for the District of Columbia on application of the Commission.</w:t>
      </w:r>
    </w:p>
    <w:p>
      <w:pPr>
        <w:pStyle w:val="BodyText"/>
        <w:spacing w:lineRule="exact" w:line="480" w:before="0" w:after="0"/>
        <w:ind w:left="0" w:firstLine="720"/>
        <w:jc w:val="both"/>
      </w:pPr>
      <w:r>
        <w:t xml:space="preserve">(c) Access. Every department, agency, and contractor shall provide the Commission with information,</w:t>
      </w:r>
      <w:r>
        <w:t xml:space="preserve"> </w:t>
      </w:r>
      <w:r>
        <w:t xml:space="preserve">records, facilities, and material it requests, notwithstanding any nondisclosure agreement, contract</w:t>
      </w:r>
      <w:r>
        <w:t xml:space="preserve"> </w:t>
      </w:r>
      <w:r>
        <w:t xml:space="preserve">term, or classification.</w:t>
      </w:r>
    </w:p>
    <w:p>
      <w:pPr>
        <w:pStyle w:val="BodyText"/>
        <w:spacing w:lineRule="exact" w:line="480" w:before="0" w:after="0"/>
        <w:ind w:left="0" w:firstLine="720"/>
        <w:jc w:val="both"/>
      </w:pPr>
      <w:r>
        <w:t xml:space="preserve">(d) Agency for immunity purposes. The Commission is an agency of the United States for purposes of</w:t>
      </w:r>
      <w:r>
        <w:t xml:space="preserve"> </w:t>
      </w:r>
      <w:r>
        <w:t xml:space="preserve">section 6001 of title 18, United States Code.</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7. TESTIMONY, IMMUNITY, AND PROTECTION OF PROSECUTIONS.</w:t>
      </w:r>
    </w:p>
    <w:p>
      <w:pPr>
        <w:pStyle w:val="BodyText"/>
        <w:spacing w:lineRule="exact" w:line="480" w:before="0" w:after="0"/>
        <w:ind w:left="0" w:firstLine="720"/>
        <w:jc w:val="both"/>
      </w:pPr>
      <w:r>
        <w:t xml:space="preserve">(a) Proffers. The Commission may receive proffers of testimony under written agreements that limit the</w:t>
      </w:r>
      <w:r>
        <w:t xml:space="preserve"> </w:t>
      </w:r>
      <w:r>
        <w:t xml:space="preserve">use of the proffer, in consultation with the Attorney General.</w:t>
      </w:r>
    </w:p>
    <w:p>
      <w:pPr>
        <w:pStyle w:val="BodyText"/>
        <w:spacing w:lineRule="exact" w:line="480" w:before="0" w:after="0"/>
        <w:ind w:left="0" w:firstLine="720"/>
        <w:jc w:val="both"/>
      </w:pPr>
      <w:r>
        <w:t xml:space="preserve">(b) Immunity orders. The Commission may seek orders under section 6004 of title 18, United States Code.</w:t>
      </w:r>
      <w:r>
        <w:t xml:space="preserve"> </w:t>
      </w:r>
      <w:r>
        <w:t xml:space="preserve">Before any such order is sought, the Attorney General shall be given not less than 30 days to secure and</w:t>
      </w:r>
      <w:r>
        <w:t xml:space="preserve"> </w:t>
      </w:r>
      <w:r>
        <w:t xml:space="preserve">document evidence relating to the witness.</w:t>
      </w:r>
    </w:p>
    <w:p>
      <w:pPr>
        <w:pStyle w:val="BodyText"/>
        <w:spacing w:lineRule="exact" w:line="480" w:before="0" w:after="0"/>
        <w:ind w:left="0" w:firstLine="720"/>
        <w:jc w:val="both"/>
      </w:pPr>
      <w:r>
        <w:t xml:space="preserve">(c) Excluded conduct. No order, agreement, or provision of this Act shall confer immunity from</w:t>
      </w:r>
      <w:r>
        <w:t xml:space="preserve"> </w:t>
      </w:r>
      <w:r>
        <w:t xml:space="preserve">prosecution or civil liability for any act constituting murder, manslaughter, torture (as defined in</w:t>
      </w:r>
      <w:r>
        <w:t xml:space="preserve"> </w:t>
      </w:r>
      <w:r>
        <w:t xml:space="preserve">section 2340 of title 18, United States Code), cruel, inhuman, or degrading treatment, enforced</w:t>
      </w:r>
      <w:r>
        <w:t xml:space="preserve"> </w:t>
      </w:r>
      <w:r>
        <w:t xml:space="preserve">disappearance, or sexual assault.</w:t>
      </w:r>
    </w:p>
    <w:p>
      <w:pPr>
        <w:pStyle w:val="BodyText"/>
        <w:spacing w:lineRule="exact" w:line="480" w:before="0" w:after="0"/>
        <w:ind w:left="0" w:firstLine="720"/>
        <w:jc w:val="both"/>
      </w:pPr>
      <w:r>
        <w:t xml:space="preserve">(d) Handling of immunized testimony. Immunized testimony shall be taken in closed session; transcripts</w:t>
      </w:r>
      <w:r>
        <w:t xml:space="preserve"> </w:t>
      </w:r>
      <w:r>
        <w:t xml:space="preserve">shall be held under seal; and no person engaged in a related criminal investigation or prosecution shall</w:t>
      </w:r>
      <w:r>
        <w:t xml:space="preserve"> </w:t>
      </w:r>
      <w:r>
        <w:t xml:space="preserve">have access to it without order of the court that issued the immunity order.</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8. CONDITIONAL RELIEF FROM CIVIL LIABILITY.</w:t>
      </w:r>
    </w:p>
    <w:p>
      <w:pPr>
        <w:pStyle w:val="BodyText"/>
        <w:spacing w:lineRule="exact" w:line="480" w:before="0" w:after="0"/>
        <w:ind w:left="0" w:firstLine="720"/>
        <w:jc w:val="both"/>
      </w:pPr>
      <w:r>
        <w:t xml:space="preserve">(a) A person who, as determined by the Commission, gives full and truthful testimony regarding covered</w:t>
      </w:r>
      <w:r>
        <w:t xml:space="preserve"> </w:t>
      </w:r>
      <w:r>
        <w:t xml:space="preserve">conduct shall not be liable in any civil action under Federal or State law for that conduct, except for</w:t>
      </w:r>
      <w:r>
        <w:t xml:space="preserve"> </w:t>
      </w:r>
      <w:r>
        <w:t xml:space="preserve">excluded conduct under section 7(c).</w:t>
      </w:r>
    </w:p>
    <w:p>
      <w:pPr>
        <w:pStyle w:val="BodyText"/>
        <w:spacing w:lineRule="exact" w:line="480" w:before="0" w:after="0"/>
        <w:ind w:left="0" w:firstLine="720"/>
        <w:jc w:val="both"/>
      </w:pPr>
      <w:r>
        <w:t xml:space="preserve">(b)</w:t>
      </w:r>
      <w:r>
        <w:t xml:space="preserve"> </w:t>
      </w:r>
      <w:r>
        <w:t xml:space="preserve">“</w:t>
      </w:r>
      <w:r>
        <w:t xml:space="preserve">Covered conduct</w:t>
      </w:r>
      <w:r>
        <w:t xml:space="preserve">”</w:t>
      </w:r>
      <w:r>
        <w:t xml:space="preserve"> </w:t>
      </w:r>
      <w:r>
        <w:t xml:space="preserve">means participation in a program described in section 5(1), including violations of</w:t>
      </w:r>
      <w:r>
        <w:t xml:space="preserve"> </w:t>
      </w:r>
      <w:r>
        <w:t xml:space="preserve">laws on appropriations, records, reporting to Congress, and contracts, and nondisclosure of information.</w:t>
      </w:r>
    </w:p>
    <w:p>
      <w:pPr>
        <w:pStyle w:val="BodyText"/>
        <w:spacing w:lineRule="exact" w:line="480" w:before="0" w:after="0"/>
        <w:ind w:left="0" w:firstLine="720"/>
        <w:jc w:val="both"/>
      </w:pPr>
      <w:r>
        <w:t xml:space="preserve">(c) The Commission’s determination is subject to review in the United States District Court for the</w:t>
      </w:r>
      <w:r>
        <w:t xml:space="preserve"> </w:t>
      </w:r>
      <w:r>
        <w:t xml:space="preserve">District of Columbia.</w:t>
      </w:r>
    </w:p>
    <w:p>
      <w:pPr>
        <w:pStyle w:val="BodyText"/>
        <w:spacing w:lineRule="exact" w:line="480" w:before="0" w:after="0"/>
        <w:ind w:left="0" w:firstLine="720"/>
        <w:jc w:val="both"/>
      </w:pPr>
      <w:r>
        <w:t xml:space="preserve">(d) A person whose claim is extinguished under subsection (a) may seek compensation under section 9.</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9. REDRESS PROGRAM.</w:t>
      </w:r>
    </w:p>
    <w:p>
      <w:pPr>
        <w:pStyle w:val="BodyText"/>
        <w:spacing w:lineRule="exact" w:line="480" w:before="0" w:after="0"/>
        <w:ind w:left="0" w:firstLine="720"/>
        <w:jc w:val="both"/>
      </w:pPr>
      <w:r>
        <w:t xml:space="preserve">(a) Fund. There is established in the Treasury the UAP Redress Fund, to be administered by a Special Master</w:t>
      </w:r>
      <w:r>
        <w:t xml:space="preserve"> </w:t>
      </w:r>
      <w:r>
        <w:t xml:space="preserve">appointed by the Attorney General after consultation with the Commission.</w:t>
      </w:r>
    </w:p>
    <w:p>
      <w:pPr>
        <w:pStyle w:val="BodyText"/>
        <w:spacing w:lineRule="exact" w:line="480" w:before="0" w:after="0"/>
        <w:ind w:left="0" w:firstLine="720"/>
        <w:jc w:val="both"/>
      </w:pPr>
      <w:r>
        <w:t xml:space="preserve">(b) Eligibility. An individual (or the personal representative of a deceased individual) is eligible for</w:t>
      </w:r>
      <w:r>
        <w:t xml:space="preserve"> </w:t>
      </w:r>
      <w:r>
        <w:t xml:space="preserve">compensation if the Special Master determines that the individual—</w:t>
      </w:r>
    </w:p>
    <w:p>
      <w:pPr>
        <w:pStyle w:val="BodyText"/>
        <w:spacing w:lineRule="exact" w:line="480" w:before="0" w:after="0"/>
        <w:ind w:left="720" w:firstLine="720"/>
        <w:jc w:val="both"/>
      </w:pPr>
      <w:r>
        <w:t xml:space="preserve">(1) suffered physical injury, illness, or death arising from participation in, exposure to, or proximity to an</w:t>
      </w:r>
      <w:r>
        <w:t xml:space="preserve"> </w:t>
      </w:r>
      <w:r>
        <w:t xml:space="preserve">activity of a program described in section 5(1);</w:t>
      </w:r>
    </w:p>
    <w:p>
      <w:pPr>
        <w:pStyle w:val="BodyText"/>
        <w:spacing w:lineRule="exact" w:line="480" w:before="0" w:after="0"/>
        <w:ind w:left="720" w:firstLine="720"/>
        <w:jc w:val="both"/>
      </w:pPr>
      <w:r>
        <w:t xml:space="preserve">(2) suffered loss of employment, security clearance, or professional standing as a result of reporting or seeking</w:t>
      </w:r>
      <w:r>
        <w:t xml:space="preserve"> </w:t>
      </w:r>
      <w:r>
        <w:t xml:space="preserve">to report information relating to such a program; or</w:t>
      </w:r>
    </w:p>
    <w:p>
      <w:pPr>
        <w:pStyle w:val="BodyText"/>
        <w:spacing w:lineRule="exact" w:line="480" w:before="0" w:after="0"/>
        <w:ind w:left="720" w:firstLine="720"/>
        <w:jc w:val="both"/>
      </w:pPr>
      <w:r>
        <w:t xml:space="preserve">(3) held a claim against any person that was extinguished by section 8.</w:t>
      </w:r>
    </w:p>
    <w:p>
      <w:pPr>
        <w:pStyle w:val="BodyText"/>
        <w:spacing w:lineRule="exact" w:line="480" w:before="0" w:after="0"/>
        <w:ind w:left="0" w:firstLine="720"/>
        <w:jc w:val="both"/>
      </w:pPr>
      <w:r>
        <w:t xml:space="preserve">(c) Documentation. A claimant shall submit the evidence reasonably available to the claimant. The Special Master</w:t>
      </w:r>
      <w:r>
        <w:t xml:space="preserve"> </w:t>
      </w:r>
      <w:r>
        <w:t xml:space="preserve">shall obtain records held by any department, agency, or contractor, including classified records, and may rely on</w:t>
      </w:r>
      <w:r>
        <w:t xml:space="preserve"> </w:t>
      </w:r>
      <w:r>
        <w:t xml:space="preserve">the Commission’s findings. A claimant shall not be denied compensation because records relevant to the claim</w:t>
      </w:r>
      <w:r>
        <w:t xml:space="preserve"> </w:t>
      </w:r>
      <w:r>
        <w:t xml:space="preserve">remain classified or were destroyed; in such a case the Special Master may rely on the claimant’s sworn statement</w:t>
      </w:r>
      <w:r>
        <w:t xml:space="preserve"> </w:t>
      </w:r>
      <w:r>
        <w:t xml:space="preserve">and other credible evidence.</w:t>
      </w:r>
    </w:p>
    <w:p>
      <w:pPr>
        <w:pStyle w:val="BodyText"/>
        <w:spacing w:lineRule="exact" w:line="480" w:before="0" w:after="0"/>
        <w:ind w:left="0" w:firstLine="720"/>
        <w:jc w:val="both"/>
      </w:pPr>
      <w:r>
        <w:t xml:space="preserve">(d) Presumptions. The Special Master may establish by regulation presumptions of causation for specified injuries</w:t>
      </w:r>
      <w:r>
        <w:t xml:space="preserve"> </w:t>
      </w:r>
      <w:r>
        <w:t xml:space="preserve">or illnesses associated with specified exposures, after considering the views of the Secretary of Health and Human</w:t>
      </w:r>
      <w:r>
        <w:t xml:space="preserve"> </w:t>
      </w:r>
      <w:r>
        <w:t xml:space="preserve">Services and any medical evidence developed by the Commission.</w:t>
      </w:r>
    </w:p>
    <w:p>
      <w:pPr>
        <w:pStyle w:val="BodyText"/>
        <w:spacing w:lineRule="exact" w:line="480" w:before="0" w:after="0"/>
        <w:ind w:left="0" w:firstLine="720"/>
        <w:jc w:val="both"/>
      </w:pPr>
      <w:r>
        <w:t xml:space="preserve">(e) Awards. Awards shall compensate for economic loss and noneconomic loss, reduced by collateral payments</w:t>
      </w:r>
      <w:r>
        <w:t xml:space="preserve"> </w:t>
      </w:r>
      <w:r>
        <w:t xml:space="preserve">received for the same injury from another Federal program. The Special Master shall publish award schedules.</w:t>
      </w:r>
    </w:p>
    <w:p>
      <w:pPr>
        <w:pStyle w:val="BodyText"/>
        <w:spacing w:lineRule="exact" w:line="480" w:before="0" w:after="0"/>
        <w:ind w:left="0" w:firstLine="720"/>
        <w:jc w:val="both"/>
      </w:pPr>
      <w:r>
        <w:t xml:space="preserve">(f) Procedure. A claim shall be filed within 3 years after the later of the date of enactment of this Act or the</w:t>
      </w:r>
      <w:r>
        <w:t xml:space="preserve"> </w:t>
      </w:r>
      <w:r>
        <w:t xml:space="preserve">date on which the claimant knew or reasonably should have known of the injury and its connection to a program</w:t>
      </w:r>
      <w:r>
        <w:t xml:space="preserve"> </w:t>
      </w:r>
      <w:r>
        <w:t xml:space="preserve">described in section 5(1). The Special Master shall decide a claim within 180 days after it is complete. Hearings</w:t>
      </w:r>
      <w:r>
        <w:t xml:space="preserve"> </w:t>
      </w:r>
      <w:r>
        <w:t xml:space="preserve">may be closed when classified information is discussed.</w:t>
      </w:r>
    </w:p>
    <w:p>
      <w:pPr>
        <w:pStyle w:val="BodyText"/>
        <w:spacing w:lineRule="exact" w:line="480" w:before="0" w:after="0"/>
        <w:ind w:left="0" w:firstLine="720"/>
        <w:jc w:val="both"/>
      </w:pPr>
      <w:r>
        <w:t xml:space="preserve">(g) Election and finality. Acceptance of an award constitutes a waiver of all civil claims arising from the same</w:t>
      </w:r>
      <w:r>
        <w:t xml:space="preserve"> </w:t>
      </w:r>
      <w:r>
        <w:t xml:space="preserve">injury against the United States, its officers and employees, and its contractors. A decision of the Special</w:t>
      </w:r>
      <w:r>
        <w:t xml:space="preserve"> </w:t>
      </w:r>
      <w:r>
        <w:t xml:space="preserve">Master is final, except that a claimant may seek review in the United States Court of Federal Claims on the ground</w:t>
      </w:r>
      <w:r>
        <w:t xml:space="preserve"> </w:t>
      </w:r>
      <w:r>
        <w:t xml:space="preserve">that the decision was arbitrary, capricious, or contrary to law.</w:t>
      </w:r>
    </w:p>
    <w:p>
      <w:pPr>
        <w:pStyle w:val="BodyText"/>
        <w:spacing w:lineRule="exact" w:line="480" w:before="0" w:after="0"/>
        <w:ind w:left="0" w:firstLine="720"/>
        <w:jc w:val="both"/>
      </w:pPr>
      <w:r>
        <w:t xml:space="preserve">(h) Confidentiality. The identity of a claimant, and any information that would reveal it, shall not be disclosed</w:t>
      </w:r>
      <w:r>
        <w:t xml:space="preserve"> </w:t>
      </w:r>
      <w:r>
        <w:t xml:space="preserve">without the claimant’s written consent.</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10. PROTECTION OF WITNESSES.</w:t>
      </w:r>
    </w:p>
    <w:p>
      <w:pPr>
        <w:spacing w:lineRule="exact" w:line="480" w:before="0" w:after="0"/>
        <w:ind w:firstLine="720"/>
        <w:jc w:val="both"/>
      </w:pPr>
      <w:r/>
      <w:r>
        <w:t xml:space="preserve">Any person who provides information to the Commission shall have the</w:t>
      </w:r>
      <w:r>
        <w:t xml:space="preserve"> </w:t>
      </w:r>
      <w:r>
        <w:t xml:space="preserve">protections of section 1673(b) of the James M. Inhofe National Defense Authorization Act for Fiscal</w:t>
      </w:r>
      <w:r>
        <w:t xml:space="preserve"> </w:t>
      </w:r>
      <w:r>
        <w:t xml:space="preserve">Year 2023 (50 U.S.C. 3373b(b)). No person may take or threaten any personnel action, including any action</w:t>
      </w:r>
      <w:r>
        <w:t xml:space="preserve"> </w:t>
      </w:r>
      <w:r>
        <w:t xml:space="preserve">affecting a security clearance, in reprisal for such information. A person aggrieved may bring a civil</w:t>
      </w:r>
      <w:r>
        <w:t xml:space="preserve"> </w:t>
      </w:r>
      <w:r>
        <w:t xml:space="preserve">action in a district court of the United States for reinstatement, back pay, compensatory damages, and</w:t>
      </w:r>
      <w:r>
        <w:t xml:space="preserve"> </w:t>
      </w:r>
      <w:r>
        <w:t xml:space="preserve">attorney fees.</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11. REPORTS AND RECORDS.</w:t>
      </w:r>
    </w:p>
    <w:p>
      <w:pPr>
        <w:pStyle w:val="BodyText"/>
        <w:spacing w:lineRule="exact" w:line="480" w:before="0" w:after="0"/>
        <w:ind w:left="0" w:firstLine="720"/>
        <w:jc w:val="both"/>
      </w:pPr>
      <w:r>
        <w:t xml:space="preserve">(a) Interim reports every 6 months; a final report within 3 years after the Commission’s first meeting,</w:t>
      </w:r>
      <w:r>
        <w:t xml:space="preserve"> </w:t>
      </w:r>
      <w:r>
        <w:t xml:space="preserve">unclassified with a classified annex.</w:t>
      </w:r>
    </w:p>
    <w:p>
      <w:pPr>
        <w:pStyle w:val="BodyText"/>
        <w:spacing w:lineRule="exact" w:line="480" w:before="0" w:after="0"/>
        <w:ind w:left="0" w:firstLine="720"/>
        <w:jc w:val="both"/>
      </w:pPr>
      <w:r>
        <w:t xml:space="preserve">(b) The unclassified report shall be published. The classified annex shall be reviewed for</w:t>
      </w:r>
      <w:r>
        <w:t xml:space="preserve"> </w:t>
      </w:r>
      <w:r>
        <w:t xml:space="preserve">declassification within 2 years after the final report and every 5 years thereafter.</w:t>
      </w:r>
    </w:p>
    <w:p>
      <w:pPr>
        <w:pStyle w:val="BodyText"/>
        <w:spacing w:lineRule="exact" w:line="480" w:before="0" w:after="0"/>
        <w:ind w:left="0" w:firstLine="720"/>
        <w:jc w:val="both"/>
      </w:pPr>
      <w:r>
        <w:t xml:space="preserve">(c) All Commission records shall be transferred to the Unidentified Anomalous Phenomena Records</w:t>
      </w:r>
      <w:r>
        <w:t xml:space="preserve"> </w:t>
      </w:r>
      <w:r>
        <w:t xml:space="preserve">Collection at the National Archives.</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12. DEFINITIONS.</w:t>
      </w:r>
    </w:p>
    <w:p>
      <w:pPr>
        <w:spacing w:lineRule="exact" w:line="480" w:before="0" w:after="0"/>
        <w:ind w:firstLine="720"/>
        <w:jc w:val="both"/>
      </w:pPr>
      <w:r/>
      <w:r>
        <w:t xml:space="preserve">In this Act:</w:t>
      </w:r>
    </w:p>
    <w:p>
      <w:pPr>
        <w:pStyle w:val="BodyText"/>
        <w:spacing w:lineRule="exact" w:line="480" w:before="0" w:after="0"/>
        <w:ind w:left="720" w:firstLine="720"/>
        <w:jc w:val="both"/>
      </w:pPr>
      <w:r>
        <w:t xml:space="preserve">(1) The term</w:t>
      </w:r>
      <w:r>
        <w:t xml:space="preserve"> </w:t>
      </w:r>
      <w:r>
        <w:t xml:space="preserve">“</w:t>
      </w:r>
      <w:r>
        <w:t xml:space="preserve">controlling authority</w:t>
      </w:r>
      <w:r>
        <w:t xml:space="preserve">”</w:t>
      </w:r>
      <w:r>
        <w:t xml:space="preserve"> </w:t>
      </w:r>
      <w:r>
        <w:t xml:space="preserve">means any Federal, State, or local government department, office, agency,</w:t>
      </w:r>
      <w:r>
        <w:t xml:space="preserve"> </w:t>
      </w:r>
      <w:r>
        <w:t xml:space="preserve">committee, commission, commercial company, academic institution, or private sector entity in physical possession of</w:t>
      </w:r>
      <w:r>
        <w:t xml:space="preserve"> </w:t>
      </w:r>
      <w:r>
        <w:t xml:space="preserve">technologies of unknown origin or biological evidence of non-human intelligence.</w:t>
      </w:r>
    </w:p>
    <w:p>
      <w:pPr>
        <w:pStyle w:val="BodyText"/>
        <w:spacing w:lineRule="exact" w:line="480" w:before="0" w:after="0"/>
        <w:ind w:left="720" w:firstLine="720"/>
        <w:jc w:val="both"/>
      </w:pPr>
      <w:r>
        <w:t xml:space="preserve">(2) The term</w:t>
      </w:r>
      <w:r>
        <w:t xml:space="preserve"> </w:t>
      </w:r>
      <w:r>
        <w:t xml:space="preserve">“</w:t>
      </w:r>
      <w:r>
        <w:t xml:space="preserve">legacy program</w:t>
      </w:r>
      <w:r>
        <w:t xml:space="preserve">”</w:t>
      </w:r>
      <w:r>
        <w:t xml:space="preserve"> </w:t>
      </w:r>
      <w:r>
        <w:t xml:space="preserve">means all Federal, State, and local government, commercial industry, academic, and</w:t>
      </w:r>
      <w:r>
        <w:t xml:space="preserve"> </w:t>
      </w:r>
      <w:r>
        <w:t xml:space="preserve">private sector endeavors to collect, exploit, or reverse engineer technologies of unknown origin or examine</w:t>
      </w:r>
      <w:r>
        <w:t xml:space="preserve"> </w:t>
      </w:r>
      <w:r>
        <w:t xml:space="preserve">biological evidence of living or deceased non-human intelligence that predate the date of the enactment of this</w:t>
      </w:r>
      <w:r>
        <w:t xml:space="preserve"> </w:t>
      </w:r>
      <w:r>
        <w:t xml:space="preserve">Act.</w:t>
      </w:r>
    </w:p>
    <w:p>
      <w:pPr>
        <w:pStyle w:val="BodyText"/>
        <w:spacing w:lineRule="exact" w:line="480" w:before="0" w:after="0"/>
        <w:ind w:left="720" w:firstLine="720"/>
        <w:jc w:val="both"/>
      </w:pPr>
      <w:r>
        <w:t xml:space="preserve">(3) The term</w:t>
      </w:r>
      <w:r>
        <w:t xml:space="preserve"> </w:t>
      </w:r>
      <w:r>
        <w:t xml:space="preserve">“</w:t>
      </w:r>
      <w:r>
        <w:t xml:space="preserve">non-human intelligence</w:t>
      </w:r>
      <w:r>
        <w:t xml:space="preserve">”</w:t>
      </w:r>
      <w:r>
        <w:t xml:space="preserve"> </w:t>
      </w:r>
      <w:r>
        <w:t xml:space="preserve">means any sentient intelligent non-human lifeform regardless of nature or</w:t>
      </w:r>
      <w:r>
        <w:t xml:space="preserve"> </w:t>
      </w:r>
      <w:r>
        <w:t xml:space="preserve">ultimate origin that may be presumed responsible for unidentified anomalous phenomena or of which the Federal</w:t>
      </w:r>
      <w:r>
        <w:t xml:space="preserve"> </w:t>
      </w:r>
      <w:r>
        <w:t xml:space="preserve">Government has become aware.</w:t>
      </w:r>
    </w:p>
    <w:p>
      <w:pPr>
        <w:pStyle w:val="BodyText"/>
        <w:spacing w:lineRule="exact" w:line="480" w:before="0" w:after="0"/>
        <w:ind w:left="720" w:firstLine="720"/>
        <w:jc w:val="both"/>
      </w:pPr>
      <w:r>
        <w:t xml:space="preserve">(4) The term</w:t>
      </w:r>
      <w:r>
        <w:t xml:space="preserve"> </w:t>
      </w:r>
      <w:r>
        <w:t xml:space="preserve">“</w:t>
      </w:r>
      <w:r>
        <w:t xml:space="preserve">technologies of unknown origin</w:t>
      </w:r>
      <w:r>
        <w:t xml:space="preserve">”</w:t>
      </w:r>
      <w:r>
        <w:t xml:space="preserve"> </w:t>
      </w:r>
      <w:r>
        <w:t xml:space="preserve">means any materials or meta-materials, ejecta, crash debris,</w:t>
      </w:r>
      <w:r>
        <w:t xml:space="preserve"> </w:t>
      </w:r>
      <w:r>
        <w:t xml:space="preserve">mechanisms, machinery, equipment, assemblies or sub-assemblies, engineering models or processes, damaged or intact</w:t>
      </w:r>
      <w:r>
        <w:t xml:space="preserve"> </w:t>
      </w:r>
      <w:r>
        <w:t xml:space="preserve">aerospace vehicles, and damaged or intact ocean-surface and undersea craft associated with unidentified anomalous</w:t>
      </w:r>
      <w:r>
        <w:t xml:space="preserve"> </w:t>
      </w:r>
      <w:r>
        <w:t xml:space="preserve">phenomena or incorporating science and technology that lacks prosaic attribution or known means of human</w:t>
      </w:r>
      <w:r>
        <w:t xml:space="preserve"> </w:t>
      </w:r>
      <w:r>
        <w:t xml:space="preserve">manufacture.</w:t>
      </w:r>
    </w:p>
    <w:p>
      <w:pPr>
        <w:pStyle w:val="BodyText"/>
        <w:spacing w:lineRule="exact" w:line="480" w:before="0" w:after="0"/>
        <w:ind w:left="720" w:firstLine="720"/>
        <w:jc w:val="both"/>
      </w:pPr>
      <w:r>
        <w:t xml:space="preserve">(5) The term</w:t>
      </w:r>
      <w:r>
        <w:t xml:space="preserve"> </w:t>
      </w:r>
      <w:r>
        <w:t xml:space="preserve">“</w:t>
      </w:r>
      <w:r>
        <w:t xml:space="preserve">prosaic attribution</w:t>
      </w:r>
      <w:r>
        <w:t xml:space="preserve">”</w:t>
      </w:r>
      <w:r>
        <w:t xml:space="preserve"> </w:t>
      </w:r>
      <w:r>
        <w:t xml:space="preserve">means having a human (either foreign or domestic) origin and operating according</w:t>
      </w:r>
      <w:r>
        <w:t xml:space="preserve"> </w:t>
      </w:r>
      <w:r>
        <w:t xml:space="preserve">to current, proven, and generally understood scientific and engineering principles and established laws of nature</w:t>
      </w:r>
      <w:r>
        <w:t xml:space="preserve"> </w:t>
      </w:r>
      <w:r>
        <w:t xml:space="preserve">and not attributable to non-human intelligence.</w:t>
      </w:r>
    </w:p>
    <w:p>
      <w:pPr>
        <w:pStyle w:val="BodyText"/>
        <w:spacing w:lineRule="exact" w:line="480" w:before="0" w:after="0"/>
        <w:ind w:left="720" w:firstLine="720"/>
        <w:jc w:val="both"/>
      </w:pPr>
      <w:r>
        <w:t xml:space="preserve">(6) The term</w:t>
      </w:r>
      <w:r>
        <w:t xml:space="preserve"> </w:t>
      </w:r>
      <w:r>
        <w:t xml:space="preserve">“</w:t>
      </w:r>
      <w:r>
        <w:t xml:space="preserve">unidentified anomalous phenomena</w:t>
      </w:r>
      <w:r>
        <w:t xml:space="preserve">”</w:t>
      </w:r>
      <w:r>
        <w:t xml:space="preserve"> </w:t>
      </w:r>
      <w:r>
        <w:t xml:space="preserve">has the meaning given that term in section 3373(n) of title 50, United</w:t>
      </w:r>
      <w:r>
        <w:t xml:space="preserve"> </w:t>
      </w:r>
      <w:r>
        <w:t xml:space="preserve">States Code.</w:t>
      </w:r>
    </w:p>
    <w:p>
      <w:pPr>
        <w:pStyle w:val="BodyText"/>
        <w:spacing w:lineRule="exact" w:line="480" w:before="0" w:after="0"/>
        <w:ind w:left="720" w:firstLine="720"/>
        <w:jc w:val="both"/>
      </w:pPr>
      <w:r>
        <w:t xml:space="preserve">(7) The term</w:t>
      </w:r>
      <w:r>
        <w:t xml:space="preserve"> </w:t>
      </w:r>
      <w:r>
        <w:t xml:space="preserve">“</w:t>
      </w:r>
      <w:r>
        <w:t xml:space="preserve">contractor</w:t>
      </w:r>
      <w:r>
        <w:t xml:space="preserve">”</w:t>
      </w:r>
      <w:r>
        <w:t xml:space="preserve"> </w:t>
      </w:r>
      <w:r>
        <w:t xml:space="preserve">includes a subcontractor at any tier and any person performing work under an other</w:t>
      </w:r>
      <w:r>
        <w:t xml:space="preserve"> </w:t>
      </w:r>
      <w:r>
        <w:t xml:space="preserve">transaction agreement or cooperative agreement.</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13. TERMINATION.</w:t>
      </w:r>
    </w:p>
    <w:p>
      <w:pPr>
        <w:spacing w:lineRule="exact" w:line="480" w:before="0" w:after="0"/>
        <w:ind w:firstLine="720"/>
        <w:jc w:val="both"/>
      </w:pPr>
      <w:r/>
      <w:r>
        <w:t xml:space="preserve">The Commission terminates 90 days after submitting its final report.</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14. AUTHORIZATION OF APPROPRIATIONS.</w:t>
      </w:r>
    </w:p>
    <w:p>
      <w:pPr>
        <w:spacing w:lineRule="exact" w:line="480" w:before="0" w:after="0"/>
        <w:ind w:firstLine="720"/>
        <w:jc w:val="both"/>
      </w:pPr>
      <w:r/>
      <w:r>
        <w:t xml:space="preserve">There are authorized to be appropriated such sums as may be</w:t>
      </w:r>
      <w:r>
        <w:t xml:space="preserve"> </w:t>
      </w:r>
      <w:r>
        <w:t xml:space="preserve">necessary to carry out this Act, to remain available until expended, of which not less than $____ shall be</w:t>
      </w:r>
      <w:r>
        <w:t xml:space="preserve"> </w:t>
      </w:r>
      <w:r>
        <w:t xml:space="preserve">available for the UAP Redress Fund.</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15. SEVERABILITY.</w:t>
      </w:r>
    </w:p>
    <w:p>
      <w:pPr>
        <w:spacing w:lineRule="exact" w:line="480" w:before="0" w:after="0"/>
        <w:ind w:firstLine="720"/>
        <w:jc w:val="both"/>
      </w:pPr>
      <w:r/>
      <w:r>
        <w:t xml:space="preserve">If any provision of this Act, or its application to any person or circumstance, is held</w:t>
      </w:r>
      <w:r>
        <w:t xml:space="preserve"> </w:t>
      </w:r>
      <w:r>
        <w:t xml:space="preserve">invalid, the remainder of this Act and the application of the provision to other persons or circumstances shall not</w:t>
      </w:r>
      <w:r>
        <w:t xml:space="preserve"> </w:t>
      </w:r>
      <w:r>
        <w:t xml:space="preserve">be affected. If section 8 is held invalid as to any claim, the claimant shall remain eligible under section 9.</w:t>
      </w:r>
    </w:p>
    <w:p>
      <w:pPr>
        <w:pStyle w:val="BodyText"/>
        <w:spacing w:lineRule="exact" w:line="480" w:before="0" w:after="0"/>
      </w:pPr>
      <w:r>
        <w:br w:type="page"/>
      </w:r>
    </w:p>
    <w:p>
      <w:pPr>
        <w:pStyle w:val="BodyText"/>
        <w:spacing w:lineRule="exact" w:line="480" w:before="0" w:after="0"/>
        <w:ind w:firstLine="720"/>
        <w:jc w:val="both"/>
      </w:pPr>
      <w:r>
        <w:rPr>
          <w:bCs/>
          <w:b/>
        </w:rPr>
        <w:t xml:space="preserve">Alternative SEC. 3 and 4 (legislative-branch commission).</w:t>
      </w:r>
      <w:r>
        <w:t xml:space="preserve"> </w:t>
      </w:r>
      <w:r>
        <w:t xml:space="preserve">To insulate the Commission from presidential</w:t>
      </w:r>
      <w:r>
        <w:t xml:space="preserve"> </w:t>
      </w:r>
      <w:r>
        <w:t xml:space="preserve">removal (see the drafting note on</w:t>
      </w:r>
      <w:r>
        <w:t xml:space="preserve"> </w:t>
      </w:r>
      <w:r>
        <w:rPr>
          <w:iCs/>
          <w:i/>
        </w:rPr>
        <w:t xml:space="preserve">Slaughter</w:t>
      </w:r>
      <w:r>
        <w:t xml:space="preserve">), substitute the following and delete sections 6(d) and 7(b) to the</w:t>
      </w:r>
      <w:r>
        <w:t xml:space="preserve"> </w:t>
      </w:r>
      <w:r>
        <w:t xml:space="preserve">extent they rely on executive powers:</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3. ESTABLISHMENT.</w:t>
      </w:r>
    </w:p>
    <w:p>
      <w:pPr>
        <w:spacing w:lineRule="exact" w:line="480" w:before="0" w:after="0"/>
        <w:ind w:firstLine="720"/>
        <w:jc w:val="both"/>
      </w:pPr>
      <w:r/>
      <w:r>
        <w:t xml:space="preserve">There is established in the legislative branch the Unidentified Anomalous Phenomena</w:t>
      </w:r>
      <w:r>
        <w:t xml:space="preserve"> </w:t>
      </w:r>
      <w:r>
        <w:t xml:space="preserve">Truth and Reconciliation Commission (the</w:t>
      </w:r>
      <w:r>
        <w:t xml:space="preserve"> </w:t>
      </w:r>
      <w:r>
        <w:t xml:space="preserve">“</w:t>
      </w:r>
      <w:r>
        <w:t xml:space="preserve">Commission</w:t>
      </w:r>
      <w:r>
        <w:t xml:space="preserve">”</w:t>
      </w:r>
      <w:r>
        <w:t xml:space="preserve">).</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4. MEMBERSHIP.</w:t>
      </w:r>
    </w:p>
    <w:p>
      <w:pPr>
        <w:spacing w:lineRule="exact" w:line="480" w:before="0" w:after="0"/>
        <w:ind w:firstLine="720"/>
        <w:jc w:val="both"/>
      </w:pPr>
      <w:r/>
      <w:r>
        <w:t xml:space="preserve">(a) Ten members: three appointed by the Speaker of the House of Representatives, two by the</w:t>
      </w:r>
      <w:r>
        <w:t xml:space="preserve"> </w:t>
      </w:r>
      <w:r>
        <w:t xml:space="preserve">minority leader of the House, three by the majority leader of the Senate, and two by the minority leader of the</w:t>
      </w:r>
      <w:r>
        <w:t xml:space="preserve"> </w:t>
      </w:r>
      <w:r>
        <w:t xml:space="preserve">Senate. Members serve for the life of the Commission and may be removed only by the official who appointed them.</w:t>
      </w:r>
    </w:p>
    <w:p>
      <w:pPr>
        <w:pStyle w:val="BodyText"/>
        <w:spacing w:lineRule="exact" w:line="480" w:before="0" w:after="0"/>
        <w:ind w:left="0" w:firstLine="720"/>
        <w:jc w:val="both"/>
      </w:pPr>
      <w:r>
        <w:t xml:space="preserve">(b) and (c) as in the principal text.</w:t>
      </w:r>
    </w:p>
    <w:p>
      <w:pPr>
        <w:pStyle w:val="BodyText"/>
        <w:spacing w:lineRule="exact" w:line="480" w:before="0" w:after="0"/>
        <w:ind w:firstLine="720"/>
        <w:jc w:val="both"/>
      </w:pPr>
      <w:r>
        <w:t xml:space="preserve">In this version the Commission investigates and reports to Congress. Section 6005 of title 18 allows immunity</w:t>
      </w:r>
      <w:r>
        <w:t xml:space="preserve"> </w:t>
      </w:r>
      <w:r>
        <w:t xml:space="preserve">orders only for proceedings before a House or a committee, so immunized testimony would be taken by a committee</w:t>
      </w:r>
      <w:r>
        <w:t xml:space="preserve"> </w:t>
      </w:r>
      <w:r>
        <w:t xml:space="preserve">of Congress at the Commission’s request. Give the Commission express authority to sue in its own name to enforce</w:t>
      </w:r>
      <w:r>
        <w:t xml:space="preserve"> </w:t>
      </w:r>
      <w:r>
        <w:t xml:space="preserve">its subpoenas in the District Court for the District of Columbia, because 28 U.S.C. §1365 reaches only Senate and</w:t>
      </w:r>
      <w:r>
        <w:t xml:space="preserve"> </w:t>
      </w:r>
      <w:r>
        <w:t xml:space="preserve">Senate committee subpoenas.</w:t>
      </w:r>
    </w:p>
    <w:p>
      <w:pPr>
        <w:pStyle w:val="BodyText"/>
        <w:suppressLineNumbers/>
        <w:spacing w:lineRule="exact" w:line="40" w:before="0" w:after="0"/>
        <w:sectPr>
          <w:headerReference w:type="default" r:id="rId11"/>
          <w:footerReference w:type="default" r:id="rId12"/>
          <w:headerReference w:type="first" r:id="rId13"/>
          <w:footerReference w:type="first" r:id="rId14"/>
          <w:pgSz w:h="15840" w:w="12240"/>
          <w:pgMar w:bottom="1440" w:left="2160" w:right="1440" w:top="1440" w:header="720" w:footer="720"/>
          <w:lnNumType w:countBy="1" w:restart="newPage" w:distance="503"/>
          <w:pgNumType w:start="1"/>
          <w:titlePg/>
        </w:sectPr>
      </w:pPr>
    </w:p>
    <w:bookmarkStart w:id="21" w:name="drafting-notes"/>
    <w:p>
      <w:pPr>
        <w:pStyle w:val="Heading2"/>
        <w:suppressLineNumbers/>
      </w:pPr>
      <w:r>
        <w:t xml:space="preserve">Drafting notes</w:t>
      </w:r>
    </w:p>
    <w:p>
      <w:pPr>
        <w:pStyle w:val="Compact"/>
        <w:numPr>
          <w:ilvl w:val="0"/>
          <w:numId w:val="1001"/>
        </w:numPr>
        <w:suppressLineNumbers/>
      </w:pPr>
      <w:r>
        <w:rPr>
          <w:bCs/>
          <w:b/>
        </w:rPr>
        <w:t xml:space="preserve">Removal and independence.</w:t>
      </w:r>
      <w:r>
        <w:t xml:space="preserve"> </w:t>
      </w:r>
      <w:r>
        <w:t xml:space="preserve">The Supreme Court overruled what remained of</w:t>
      </w:r>
      <w:r>
        <w:t xml:space="preserve"> </w:t>
      </w:r>
      <w:r>
        <w:rPr>
          <w:iCs/>
          <w:i/>
        </w:rPr>
        <w:t xml:space="preserve">Humphrey’s Executor</w:t>
      </w:r>
      <w:r>
        <w:t xml:space="preserve"> </w:t>
      </w:r>
      <w:r>
        <w:t xml:space="preserve">in</w:t>
      </w:r>
      <w:r>
        <w:t xml:space="preserve"> </w:t>
      </w:r>
      <w:r>
        <w:rPr>
          <w:iCs/>
          <w:i/>
        </w:rPr>
        <w:t xml:space="preserve">Trump v. Slaughter</w:t>
      </w:r>
      <w:r>
        <w:t xml:space="preserve">, No. 25-332, 609 U.S. ___, slip op. at 20-21 (June 29, 2026).</w:t>
      </w:r>
      <w:r>
        <w:t xml:space="preserve"> </w:t>
      </w:r>
      <w:r>
        <w:t xml:space="preserve">This model gives members no for-cause removal protection, so a commission exercising subpoena and</w:t>
      </w:r>
      <w:r>
        <w:t xml:space="preserve"> </w:t>
      </w:r>
      <w:r>
        <w:t xml:space="preserve">immunity-request powers serves within the executive branch. A sponsor who wants a commission insulated from</w:t>
      </w:r>
      <w:r>
        <w:t xml:space="preserve"> </w:t>
      </w:r>
      <w:r>
        <w:t xml:space="preserve">the President should instead create a legislative-branch commission, appointed by congressional leaders, that</w:t>
      </w:r>
      <w:r>
        <w:t xml:space="preserve"> </w:t>
      </w:r>
      <w:r>
        <w:t xml:space="preserve">investigates and reports to Congress and asks the courts to enforce its subpoenas, which</w:t>
      </w:r>
      <w:r>
        <w:t xml:space="preserve"> </w:t>
      </w:r>
      <w:r>
        <w:rPr>
          <w:iCs/>
          <w:i/>
        </w:rPr>
        <w:t xml:space="preserve">Slaughter</w:t>
      </w:r>
      <w:r>
        <w:t xml:space="preserve"> </w:t>
      </w:r>
      <w:r>
        <w:t xml:space="preserve">recognizes Congress may do (slip op. at 20-21).</w:t>
      </w:r>
    </w:p>
    <w:p>
      <w:pPr>
        <w:pStyle w:val="Compact"/>
        <w:numPr>
          <w:ilvl w:val="0"/>
          <w:numId w:val="1001"/>
        </w:numPr>
        <w:suppressLineNumbers/>
      </w:pPr>
      <w:r>
        <w:t xml:space="preserve">Section 7(b)’s 30-day evidence-securing period and 7(d)’s sealing rules respond to</w:t>
      </w:r>
      <w:r>
        <w:t xml:space="preserve"> </w:t>
      </w:r>
      <w:r>
        <w:rPr>
          <w:iCs/>
          <w:i/>
        </w:rPr>
        <w:t xml:space="preserve">United States v.</w:t>
      </w:r>
      <w:r>
        <w:rPr>
          <w:iCs/>
          <w:i/>
        </w:rPr>
        <w:t xml:space="preserve"> </w:t>
      </w:r>
      <w:r>
        <w:rPr>
          <w:iCs/>
          <w:i/>
        </w:rPr>
        <w:t xml:space="preserve">North</w:t>
      </w:r>
      <w:r>
        <w:t xml:space="preserve">, 910 F.2d 843 (D.C. Cir. 1990), modified, 920 F.2d 940 (D.C. Cir. 1990), and</w:t>
      </w:r>
      <w:r>
        <w:t xml:space="preserve"> </w:t>
      </w:r>
      <w:r>
        <w:rPr>
          <w:iCs/>
          <w:i/>
        </w:rPr>
        <w:t xml:space="preserve">United States v. Poindexter</w:t>
      </w:r>
      <w:r>
        <w:t xml:space="preserve">, 951 F.2d 369 (D.C. Cir. 1991).</w:t>
      </w:r>
    </w:p>
    <w:p>
      <w:pPr>
        <w:pStyle w:val="Compact"/>
        <w:numPr>
          <w:ilvl w:val="0"/>
          <w:numId w:val="1001"/>
        </w:numPr>
        <w:suppressLineNumbers/>
      </w:pPr>
      <w:r>
        <w:t xml:space="preserve">Section 7(c) excludes grave conduct from immunity, responding to the human-rights objection that</w:t>
      </w:r>
      <w:r>
        <w:t xml:space="preserve"> </w:t>
      </w:r>
      <w:r>
        <w:t xml:space="preserve">defeated conditional immunity in the Northern Ireland Legacy Act.</w:t>
      </w:r>
    </w:p>
    <w:p>
      <w:pPr>
        <w:pStyle w:val="Compact"/>
        <w:numPr>
          <w:ilvl w:val="0"/>
          <w:numId w:val="1001"/>
        </w:numPr>
        <w:suppressLineNumbers/>
      </w:pPr>
      <w:r>
        <w:t xml:space="preserve">Sections 2(a)(2) and (4) describe testimony and disputes in general terms and name no individual or office as</w:t>
      </w:r>
      <w:r>
        <w:t xml:space="preserve"> </w:t>
      </w:r>
      <w:r>
        <w:t xml:space="preserve">a wrongdoer. A sponsor who wants to cite specific hearings can add them, but keep the findings to what is in the</w:t>
      </w:r>
      <w:r>
        <w:t xml:space="preserve"> </w:t>
      </w:r>
      <w:r>
        <w:t xml:space="preserve">public record.</w:t>
      </w:r>
    </w:p>
    <w:p>
      <w:pPr>
        <w:pStyle w:val="Compact"/>
        <w:numPr>
          <w:ilvl w:val="0"/>
          <w:numId w:val="1001"/>
        </w:numPr>
        <w:suppressLineNumbers/>
      </w:pPr>
      <w:r>
        <w:t xml:space="preserve">Section 9 borrows its structure from the September 11th Victim Compensation Fund (Pub. L. 107-42, title IV) and</w:t>
      </w:r>
      <w:r>
        <w:t xml:space="preserve"> </w:t>
      </w:r>
      <w:r>
        <w:t xml:space="preserve">the claims-on-records provisions of the Radiation Exposure Compensation Act. Section 9(c)’s rule that classified</w:t>
      </w:r>
      <w:r>
        <w:t xml:space="preserve"> </w:t>
      </w:r>
      <w:r>
        <w:t xml:space="preserve">or destroyed records do not defeat a claim responds to the evidence problems discussed in</w:t>
      </w:r>
      <w:r>
        <w:t xml:space="preserve"> </w:t>
      </w:r>
      <w:hyperlink r:id="rId20">
        <w:r>
          <w:rPr>
            <w:rStyle w:val="Hyperlink"/>
          </w:rPr>
          <w:t xml:space="preserve">Issue D5</w:t>
        </w:r>
      </w:hyperlink>
      <w:r>
        <w:t xml:space="preserve">.</w:t>
      </w:r>
    </w:p>
    <w:p>
      <w:pPr>
        <w:pStyle w:val="Compact"/>
        <w:numPr>
          <w:ilvl w:val="0"/>
          <w:numId w:val="1001"/>
        </w:numPr>
        <w:suppressLineNumbers/>
      </w:pPr>
      <w:r>
        <w:t xml:space="preserve">Section 12 adopts the definitions in section 1773 of H.R. 8800 (119th Cong.) as passed by the House.</w:t>
      </w:r>
    </w:p>
    <w:p>
      <w:pPr>
        <w:pStyle w:val="Compact"/>
        <w:numPr>
          <w:ilvl w:val="0"/>
          <w:numId w:val="1001"/>
        </w:numPr>
        <w:suppressLineNumbers/>
      </w:pPr>
      <w:r>
        <w:t xml:space="preserve">Section 8 should be paired with section 9 to reduce due process and takings objections to extinguishing</w:t>
      </w:r>
      <w:r>
        <w:t xml:space="preserve"> </w:t>
      </w:r>
      <w:r>
        <w:t xml:space="preserve">accrued claims.</w:t>
      </w:r>
    </w:p>
    <w:bookmarkEnd w:id="21"/>
    <w:bookmarkEnd w:id="22"/>
    <w:sectPr>
      <w:headerReference w:type="default" r:id="rId15"/>
      <w:footerReference w:type="default" r:id="rId16"/>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uppressLineNumbers/>
    </w:pPr>
    <w:r>
      <w:rPr>
        <w:rFonts w:ascii="Century Schoolbook" w:hAnsi="Century Schoolbook" w:cs="Century Schoolbook" w:eastAsia="Century Schoolbook"/>
        <w:i/>
        <w:sz w:val="16"/>
      </w:rPr>
      <w:t>[H.R. ____]  Discussion draft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uppressLineNumbers/>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LineNumbers/>
      <w:jc w:val="center"/>
    </w:pPr>
    <w:r>
      <w:rPr>
        <w:rFonts w:ascii="Century Schoolbook" w:hAnsi="Century Schoolbook" w:cs="Century Schoolbook" w:eastAsia="Century Schoolbook"/>
        <w:sz w:val="22"/>
      </w:rPr>
      <w:fldChar w:fldCharType="begin"/>
    </w:r>
    <w:r>
      <w:rPr>
        <w:rFonts w:ascii="Century Schoolbook" w:hAnsi="Century Schoolbook" w:cs="Century Schoolbook" w:eastAsia="Century Schoolbook"/>
        <w:sz w:val="22"/>
      </w:rPr>
      <w:instrText xml:space="preserve"> PAGE </w:instrText>
    </w:r>
    <w:r>
      <w:rPr>
        <w:rFonts w:ascii="Century Schoolbook" w:hAnsi="Century Schoolbook" w:cs="Century Schoolbook" w:eastAsia="Century Schoolbook"/>
        <w:sz w:val="22"/>
      </w:rPr>
      <w:fldChar w:fldCharType="separate"/>
    </w:r>
    <w:r>
      <w:rPr>
        <w:rFonts w:ascii="Century Schoolbook" w:hAnsi="Century Schoolbook" w:cs="Century Schoolbook" w:eastAsia="Century Schoolbook"/>
        <w:sz w:val="22"/>
      </w:rPr>
      <w:t>1</w:t>
    </w:r>
    <w:r>
      <w:rPr>
        <w:rFonts w:ascii="Century Schoolbook" w:hAnsi="Century Schoolbook" w:cs="Century Schoolbook" w:eastAsia="Century Schoolbook"/>
        <w:sz w:val="22"/>
      </w:rPr>
      <w:fldChar w:fldCharType="end"/>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LineNumbers/>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auto"/>
    </w:pPr>
    <w:rPr>
      <w:rFonts w:ascii="Century Schoolbook" w:cs="Century Schoolbook" w:eastAsia="Century Schoolbook" w:hAnsi="Century Schoolbook"/>
      <w:color w:val="000000"/>
      <w:sz w:val="24"/>
    </w:rPr>
  </w:style>
  <w:style w:styleId="BodyText" w:type="paragraph">
    <w:name w:val="Body Text"/>
    <w:basedOn w:val="Normal"/>
    <w:link w:val="BodyTextChar"/>
    <w:pPr>
      <w:spacing w:after="0" w:before="0" w:line="240" w:lineRule="auto"/>
    </w:pPr>
    <w:qFormat/>
    <w:rPr>
      <w:rFonts w:ascii="Century Schoolbook" w:cs="Century Schoolbook" w:eastAsia="Century Schoolbook" w:hAnsi="Century Schoolbook"/>
      <w:color w:val="000000"/>
      <w:sz w:val="24"/>
    </w:rPr>
  </w:style>
  <w:style w:customStyle="1" w:styleId="FirstParagraph" w:type="paragraph">
    <w:name w:val="First Paragraph"/>
    <w:basedOn w:val="BodyText"/>
    <w:next w:val="BodyText"/>
    <w:qFormat/>
    <w:pPr>
      <w:spacing w:after="0" w:before="0" w:line="240" w:lineRule="auto"/>
    </w:pPr>
    <w:rPr>
      <w:rFonts w:ascii="Century Schoolbook" w:cs="Century Schoolbook" w:eastAsia="Century Schoolbook" w:hAnsi="Century Schoolbook"/>
      <w:color w:val="000000"/>
      <w:sz w:val="24"/>
    </w:rPr>
  </w:style>
  <w:style w:customStyle="1" w:styleId="Compact" w:type="paragraph">
    <w:name w:val="Compact"/>
    <w:basedOn w:val="BodyText"/>
    <w:qFormat/>
    <w:pPr>
      <w:spacing w:after="0" w:before="0" w:line="240" w:lineRule="auto"/>
    </w:pPr>
    <w:rPr>
      <w:rFonts w:ascii="Century Schoolbook" w:cs="Century Schoolbook" w:eastAsia="Century Schoolbook" w:hAnsi="Century Schoolbook"/>
      <w:color w:val="000000"/>
      <w:sz w:val="24"/>
    </w:rPr>
  </w:style>
  <w:style w:styleId="Title" w:type="paragraph">
    <w:name w:val="Title"/>
    <w:basedOn w:val="Normal"/>
    <w:next w:val="BodyText"/>
    <w:qFormat/>
    <w:pPr>
      <w:keepNext/>
      <w:keepLines/>
      <w:spacing w:after="160" w:before="480"/>
      <w:jc w:val="left"/>
    </w:pPr>
    <w:rPr>
      <w:rFonts w:ascii="Century Schoolbook" w:cs="Century Schoolbook" w:eastAsia="Century Schoolbook" w:hAnsi="Century Schoolbook"/>
      <w:b/>
      <w:bCs/>
      <w:color w:val="1A2B3C"/>
      <w:sz w:val="40"/>
      <w:szCs w:val="36"/>
    </w:rPr>
  </w:style>
  <w:style w:styleId="Subtitle" w:type="paragraph">
    <w:name w:val="Subtitle"/>
    <w:basedOn w:val="Title"/>
    <w:next w:val="BodyText"/>
    <w:qFormat/>
    <w:pPr>
      <w:keepNext/>
      <w:keepLines/>
      <w:spacing w:after="160" w:before="240"/>
      <w:jc w:val="left"/>
    </w:pPr>
    <w:rPr>
      <w:rFonts w:ascii="Century Schoolbook" w:cs="Century Schoolbook" w:eastAsia="Century Schoolbook" w:hAnsi="Century Schoolbook"/>
      <w:color w:val="1A2B3C"/>
      <w:sz w:val="22"/>
      <w:szCs w:val="30"/>
    </w:rPr>
  </w:style>
  <w:style w:customStyle="1" w:styleId="Author" w:type="paragraph">
    <w:name w:val="Author"/>
    <w:next w:val="BodyText"/>
    <w:qFormat/>
    <w:pPr>
      <w:keepNext/>
      <w:keepLines/>
      <w:jc w:val="center"/>
    </w:pPr>
    <w:rPr>
      <w:rFonts w:ascii="Century Schoolbook" w:cs="Century Schoolbook" w:eastAsia="Century Schoolbook" w:hAnsi="Century Schoolbook"/>
      <w:color w:val="000000"/>
    </w:rPr>
  </w:style>
  <w:style w:styleId="Date" w:type="paragraph">
    <w:name w:val="Date"/>
    <w:next w:val="BodyText"/>
    <w:qFormat/>
    <w:pPr>
      <w:keepNext/>
      <w:keepLines/>
      <w:jc w:val="center"/>
    </w:pPr>
    <w:rPr>
      <w:rFonts w:ascii="Century Schoolbook" w:cs="Century Schoolbook" w:eastAsia="Century Schoolbook" w:hAnsi="Century Schoolbook"/>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entury Schoolbook" w:cs="Century Schoolbook" w:eastAsia="Century Schoolbook" w:hAnsi="Century Schoolbook"/>
      <w:b/>
    </w:rPr>
  </w:style>
  <w:style w:customStyle="1" w:styleId="Abstract" w:type="paragraph">
    <w:name w:val="Abstract"/>
    <w:basedOn w:val="Normal"/>
    <w:next w:val="BodyText"/>
    <w:qFormat/>
    <w:pPr>
      <w:keepNext/>
      <w:keepLines/>
      <w:spacing w:after="300" w:before="100"/>
    </w:pPr>
    <w:rPr>
      <w:rFonts w:ascii="Century Schoolbook" w:cs="Century Schoolbook" w:eastAsia="Century Schoolbook" w:hAnsi="Century Schoolbook"/>
      <w:color w:val="000000"/>
      <w:sz w:val="20"/>
      <w:szCs w:val="20"/>
    </w:rPr>
  </w:style>
  <w:style w:styleId="Bibliography" w:type="paragraph">
    <w:name w:val="Bibliography"/>
    <w:basedOn w:val="Normal"/>
    <w:next w:val="Bibliography"/>
    <w:qFormat/>
    <w:pPr/>
    <w:rPr>
      <w:rFonts w:ascii="Century Schoolbook" w:cs="Century Schoolbook" w:eastAsia="Century Schoolbook" w:hAnsi="Century Schoolbook"/>
      <w:color w:val="000000"/>
    </w:rPr>
  </w:style>
  <w:style w:styleId="Heading1" w:type="paragraph">
    <w:name w:val="Heading 1"/>
    <w:basedOn w:val="Normal"/>
    <w:next w:val="BodyText"/>
    <w:uiPriority w:val="9"/>
    <w:qFormat/>
    <w:pPr>
      <w:keepNext/>
      <w:keepLines/>
      <w:spacing w:after="120" w:before="280"/>
      <w:outlineLvl w:val="0"/>
    </w:pPr>
    <w:rPr>
      <w:rFonts w:ascii="Century Schoolbook" w:cs="Century Schoolbook" w:eastAsia="Century Schoolbook" w:hAnsi="Century Schoolbook"/>
      <w:b/>
      <w:bCs/>
      <w:i w:val="0"/>
      <w:color w:val="000000"/>
      <w:sz w:val="24"/>
      <w:szCs w:val="32"/>
    </w:rPr>
  </w:style>
  <w:style w:styleId="Heading2" w:type="paragraph">
    <w:name w:val="Heading 2"/>
    <w:basedOn w:val="Normal"/>
    <w:next w:val="BodyText"/>
    <w:uiPriority w:val="9"/>
    <w:unhideWhenUsed/>
    <w:qFormat/>
    <w:pPr>
      <w:keepNext/>
      <w:keepLines/>
      <w:spacing w:after="120" w:before="200"/>
      <w:outlineLvl w:val="1"/>
    </w:pPr>
    <w:rPr>
      <w:rFonts w:ascii="Century Schoolbook" w:cs="Century Schoolbook" w:eastAsia="Century Schoolbook" w:hAnsi="Century Schoolbook"/>
      <w:b/>
      <w:bCs/>
      <w:i w:val="0"/>
      <w:color w:val="000000"/>
      <w:sz w:val="24"/>
      <w:szCs w:val="28"/>
    </w:rPr>
  </w:style>
  <w:style w:styleId="Heading3" w:type="paragraph">
    <w:name w:val="Heading 3"/>
    <w:basedOn w:val="Normal"/>
    <w:next w:val="BodyText"/>
    <w:uiPriority w:val="9"/>
    <w:unhideWhenUsed/>
    <w:qFormat/>
    <w:pPr>
      <w:keepNext/>
      <w:keepLines/>
      <w:spacing w:after="120" w:before="200"/>
      <w:outlineLvl w:val="2"/>
    </w:pPr>
    <w:rPr>
      <w:rFonts w:ascii="Century Schoolbook" w:cs="Century Schoolbook" w:eastAsia="Century Schoolbook" w:hAnsi="Century Schoolbook"/>
      <w:b/>
      <w:bCs/>
      <w:i w:val="0"/>
      <w:color w:val="000000"/>
      <w:sz w:val="24"/>
      <w:szCs w:val="24"/>
    </w:rPr>
  </w:style>
  <w:style w:styleId="Heading4" w:type="paragraph">
    <w:name w:val="Heading 4"/>
    <w:basedOn w:val="Normal"/>
    <w:next w:val="BodyText"/>
    <w:uiPriority w:val="9"/>
    <w:unhideWhenUsed/>
    <w:qFormat/>
    <w:pPr>
      <w:keepNext/>
      <w:keepLines/>
      <w:spacing w:after="120" w:before="200"/>
      <w:outlineLvl w:val="3"/>
    </w:pPr>
    <w:rPr>
      <w:rFonts w:ascii="Century Schoolbook" w:cs="Century Schoolbook" w:eastAsia="Century Schoolbook" w:hAnsi="Century Schoolbook"/>
      <w:i w:val="0"/>
      <w:b/>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Century Schoolbook" w:cs="Century Schoolbook" w:eastAsia="Century Schoolbook" w:hAnsi="Century Schoolbook"/>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entury Schoolbook" w:cs="Century Schoolbook" w:eastAsia="Century Schoolbook" w:hAnsi="Century Schoolbook"/>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entury Schoolbook" w:cs="Century Schoolbook" w:eastAsia="Century Schoolbook" w:hAnsi="Century Schoolbook"/>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entury Schoolbook" w:cs="Century Schoolbook" w:eastAsia="Century Schoolbook" w:hAnsi="Century Schoolbook"/>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entury Schoolbook" w:cs="Century Schoolbook" w:eastAsia="Century Schoolbook" w:hAnsi="Century Schoolbook"/>
      <w:color w:val="000000"/>
      <w:sz w:val="24"/>
      <w:szCs w:val="24"/>
    </w:rPr>
  </w:style>
  <w:style w:styleId="BlockText" w:type="paragraph">
    <w:name w:val="Block Text"/>
    <w:basedOn w:val="BodyText"/>
    <w:next w:val="BodyText"/>
    <w:uiPriority w:val="9"/>
    <w:unhideWhenUsed/>
    <w:qFormat/>
    <w:pPr>
      <w:spacing w:after="0" w:before="0" w:line="240" w:lineRule="auto"/>
      <w:ind w:firstLine="0" w:left="720" w:right="720"/>
    </w:pPr>
    <w:rPr>
      <w:rFonts w:ascii="Century Schoolbook" w:cs="Century Schoolbook" w:eastAsia="Century Schoolbook" w:hAnsi="Century Schoolbook"/>
      <w:color w:val="000000"/>
      <w:sz w:val="24"/>
    </w:rPr>
  </w:style>
  <w:style w:styleId="FootnoteText" w:type="paragraph">
    <w:name w:val="Footnote Text"/>
    <w:basedOn w:val="Normal"/>
    <w:next w:val="FootnoteText"/>
    <w:uiPriority w:val="9"/>
    <w:unhideWhenUsed/>
    <w:qFormat/>
    <w:rPr>
      <w:rFonts w:ascii="Century Schoolbook" w:cs="Century Schoolbook" w:eastAsia="Century Schoolbook" w:hAnsi="Century Schoolbook"/>
      <w:color w:val="000000"/>
    </w:rPr>
  </w:style>
  <w:style w:default="1" w:styleId="DefaultParagraphFont" w:type="character">
    <w:name w:val="Default Paragraph Font"/>
    <w:semiHidden/>
    <w:unhideWhenUsed/>
    <w:rPr>
      <w:rFonts w:ascii="Century Schoolbook" w:cs="Century Schoolbook" w:eastAsia="Century Schoolbook" w:hAnsi="Century Schoolbook"/>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entury Schoolbook" w:cs="Century Schoolbook" w:eastAsia="Century Schoolbook" w:hAnsi="Century Schoolbook"/>
      <w:b/>
      <w:color w:val="000000"/>
    </w:rPr>
  </w:style>
  <w:style w:customStyle="1" w:styleId="Definition" w:type="paragraph">
    <w:name w:val="Definition"/>
    <w:basedOn w:val="Normal"/>
    <w:rPr>
      <w:rFonts w:ascii="Century Schoolbook" w:cs="Century Schoolbook" w:eastAsia="Century Schoolbook" w:hAnsi="Century Schoolbook"/>
      <w:color w:val="000000"/>
    </w:rPr>
  </w:style>
  <w:style w:styleId="Caption" w:type="paragraph">
    <w:name w:val="Caption"/>
    <w:basedOn w:val="Normal"/>
    <w:link w:val="BodyTextChar"/>
    <w:pPr>
      <w:spacing w:after="120" w:before="0"/>
    </w:pPr>
    <w:rPr>
      <w:rFonts w:ascii="Century Schoolbook" w:cs="Century Schoolbook" w:eastAsia="Century Schoolbook" w:hAnsi="Century Schoolbook"/>
      <w:i/>
      <w:color w:val="000000"/>
    </w:rPr>
  </w:style>
  <w:style w:customStyle="1" w:styleId="TableCaption" w:type="paragraph">
    <w:name w:val="Table Caption"/>
    <w:basedOn w:val="Caption"/>
    <w:pPr>
      <w:keepNext/>
    </w:pPr>
    <w:rPr>
      <w:rFonts w:ascii="Century Schoolbook" w:cs="Century Schoolbook" w:eastAsia="Century Schoolbook" w:hAnsi="Century Schoolbook"/>
      <w:color w:val="000000"/>
    </w:rPr>
  </w:style>
  <w:style w:customStyle="1" w:styleId="ImageCaption" w:type="paragraph">
    <w:name w:val="Image Caption"/>
    <w:basedOn w:val="Caption"/>
    <w:rPr>
      <w:rFonts w:ascii="Century Schoolbook" w:cs="Century Schoolbook" w:eastAsia="Century Schoolbook" w:hAnsi="Century Schoolbook"/>
      <w:color w:val="000000"/>
    </w:rPr>
  </w:style>
  <w:style w:customStyle="1" w:styleId="Figure" w:type="paragraph">
    <w:name w:val="Figure"/>
    <w:basedOn w:val="Normal"/>
    <w:rPr>
      <w:rFonts w:ascii="Century Schoolbook" w:cs="Century Schoolbook" w:eastAsia="Century Schoolbook" w:hAnsi="Century Schoolbook"/>
      <w:color w:val="000000"/>
    </w:rPr>
  </w:style>
  <w:style w:customStyle="1" w:styleId="CaptionedFigure" w:type="paragraph">
    <w:name w:val="Captioned Figure"/>
    <w:basedOn w:val="Figure"/>
    <w:pPr>
      <w:keepNext/>
    </w:pPr>
    <w:rPr>
      <w:rFonts w:ascii="Century Schoolbook" w:cs="Century Schoolbook" w:eastAsia="Century Schoolbook" w:hAnsi="Century Schoolbook"/>
      <w:color w:val="000000"/>
    </w:rPr>
  </w:style>
  <w:style w:customStyle="1" w:styleId="BodyTextChar" w:type="character">
    <w:name w:val="Body Text Char"/>
    <w:basedOn w:val="DefaultParagraphFont"/>
    <w:link w:val="BodyText"/>
    <w:rPr>
      <w:rFonts w:ascii="Century Schoolbook" w:cs="Century Schoolbook" w:eastAsia="Century Schoolbook" w:hAnsi="Century Schoolbook"/>
      <w:color w:val="000000"/>
    </w:rPr>
  </w:style>
  <w:style w:customStyle="1" w:styleId="VerbatimChar" w:type="character">
    <w:name w:val="Verbatim Char"/>
    <w:basedOn w:val="BodyTextChar"/>
    <w:rPr>
      <w:rFonts w:ascii="Century Schoolbook" w:cs="Century Schoolbook" w:eastAsia="Century Schoolbook" w:hAnsi="Century Schoolbook"/>
      <w:color w:val="000000"/>
      <w:sz w:val="22"/>
    </w:rPr>
  </w:style>
  <w:style w:customStyle="1" w:styleId="SectionNumber" w:type="character">
    <w:name w:val="Section Number"/>
    <w:basedOn w:val="BodyTextChar"/>
    <w:rPr>
      <w:rFonts w:ascii="Century Schoolbook" w:cs="Century Schoolbook" w:eastAsia="Century Schoolbook" w:hAnsi="Century Schoolbook"/>
      <w:color w:val="000000"/>
    </w:rPr>
  </w:style>
  <w:style w:styleId="FootnoteReference" w:type="character">
    <w:name w:val="Footnote Reference"/>
    <w:basedOn w:val="BodyTextChar"/>
    <w:rPr>
      <w:rFonts w:ascii="Century Schoolbook" w:cs="Century Schoolbook" w:eastAsia="Century Schoolbook" w:hAnsi="Century Schoolbook"/>
      <w:color w:val="000000"/>
      <w:vertAlign w:val="superscript"/>
    </w:rPr>
  </w:style>
  <w:style w:styleId="Hyperlink" w:type="character">
    <w:name w:val="Hyperlink"/>
    <w:basedOn w:val="BodyTextChar"/>
    <w:rPr>
      <w:rFonts w:ascii="Century Schoolbook" w:cs="Century Schoolbook" w:eastAsia="Century Schoolbook" w:hAnsi="Century Schoolbook"/>
      <w:color w:val="1F6E6E"/>
    </w:rPr>
  </w:style>
  <w:style w:styleId="TOCHeading" w:type="paragraph">
    <w:name w:val="TOC Heading"/>
    <w:basedOn w:val="Heading1"/>
    <w:next w:val="BodyText"/>
    <w:uiPriority w:val="39"/>
    <w:unhideWhenUsed/>
    <w:qFormat/>
    <w:pPr>
      <w:spacing w:before="240" w:line="259" w:lineRule="auto"/>
      <w:outlineLvl w:val="9"/>
    </w:pPr>
    <w:rPr>
      <w:rFonts w:ascii="Century Schoolbook" w:cs="Century Schoolbook" w:eastAsia="Century Schoolbook" w:hAnsi="Century Schoolbook"/>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issues/d5.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header" Target="header4.xml"/><Relationship Id="rId16" Type="http://schemas.openxmlformats.org/officeDocument/2006/relationships/footer" Target="footer4.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issues/d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B3-1. Model Statute: Unidentified Anomalous Phenomena Truth and Reconciliation Commission Act</dc:title>
  <dc:creator>nhilaw.com</dc:creator>
  <cp:keywords/>
  <dcterms:created xsi:type="dcterms:W3CDTF">2026-10-19T03:12:35Z</dcterms:created>
  <dcterms:modified xsi:type="dcterms:W3CDTF">2026-10-19T03:12:35Z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