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Designing a UAP Truth Commission: Compulsion, Immunity, and Accountability</w:t>
      </w:r>
    </w:p>
    <w:p>
      <w:pPr>
        <w:pStyle w:val="Subtitle"/>
      </w:pPr>
      <w:r>
        <w:t xml:space="preserve">Version 1.10 · October 2026 · nhilaw.com/issues/b3.html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Program participants will not testify fully without protection, and every protective tool has a known cost: immunity makes later prosecution hard (</w:t>
      </w:r>
      <w:r>
        <w:rPr>
          <w:iCs/>
          <w:i/>
        </w:rPr>
        <w:t xml:space="preserve">North</w:t>
      </w:r>
      <w:r>
        <w:t xml:space="preserve">;</w:t>
      </w:r>
      <w:r>
        <w:t xml:space="preserve"> </w:t>
      </w:r>
      <w:r>
        <w:rPr>
          <w:iCs/>
          <w:i/>
        </w:rPr>
        <w:t xml:space="preserve">Poindexter</w:t>
      </w:r>
      <w:r>
        <w:t xml:space="preserve">), pardons do not reach state crimes or civil claims, and civil shields need a compensation fund.</w:t>
      </w:r>
    </w:p>
    <w:p>
      <w:pPr>
        <w:pStyle w:val="Compact"/>
        <w:numPr>
          <w:ilvl w:val="0"/>
          <w:numId w:val="1001"/>
        </w:numPr>
      </w:pPr>
      <w:r>
        <w:t xml:space="preserve">South Africa’s amnesty-for-disclosure model was upheld (</w:t>
      </w:r>
      <w:r>
        <w:rPr>
          <w:iCs/>
          <w:i/>
        </w:rPr>
        <w:t xml:space="preserve">AZAPO</w:t>
      </w:r>
      <w:r>
        <w:t xml:space="preserve">); Northern Ireland’s conditional immunity was held incompatible with ECHR Articles 2 and 3 (</w:t>
      </w:r>
      <w:r>
        <w:rPr>
          <w:iCs/>
          <w:i/>
        </w:rPr>
        <w:t xml:space="preserve">Dillon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A U.S. commission should combine subpoena power, a DOJ-coordinated immunity process with evidence secured first, a narrow civil shield, and carve-outs for homicide and torture (</w:t>
      </w:r>
      <w:hyperlink r:id="rId21">
        <w:r>
          <w:rPr>
            <w:rStyle w:val="Hyperlink"/>
          </w:rPr>
          <w:t xml:space="preserve">Form B3-1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An executive amnesty order can announce pardon policy but cannot bind states or bar civil suits.</w:t>
      </w:r>
    </w:p>
    <w:p>
      <w:pPr>
        <w:pStyle w:val="Compact"/>
        <w:numPr>
          <w:ilvl w:val="0"/>
          <w:numId w:val="1001"/>
        </w:numPr>
      </w:pPr>
      <w:r>
        <w:t xml:space="preserve">Counsel to a witness should assess exposure and negotiate a proffer before any testimony.</w:t>
      </w:r>
    </w:p>
    <w:p>
      <w:r>
        <w:pict>
          <v:rect style="width:0;height:1.5pt" o:hralign="center" o:hrstd="t" o:hr="t"/>
        </w:pict>
      </w:r>
    </w:p>
    <w:bookmarkEnd w:id="22"/>
    <w:bookmarkStart w:id="24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If disclosure confirms decades of concealment, the people who know the most will be program</w:t>
      </w:r>
      <w:r>
        <w:t xml:space="preserve"> </w:t>
      </w:r>
      <w:r>
        <w:t xml:space="preserve">participants: officials, service members, and contractor employees who may have violated statutes on</w:t>
      </w:r>
      <w:r>
        <w:t xml:space="preserve"> </w:t>
      </w:r>
      <w:r>
        <w:t xml:space="preserve">appropriations, reporting to Congress, records, or worse (Issues D1, D3, F2). They will not testify</w:t>
      </w:r>
      <w:r>
        <w:t xml:space="preserve"> </w:t>
      </w:r>
      <w:r>
        <w:t xml:space="preserve">fully without protection. Protection, in turn, is politically contested and, where serious harms are</w:t>
      </w:r>
      <w:r>
        <w:t xml:space="preserve"> </w:t>
      </w:r>
      <w:r>
        <w:t xml:space="preserve">alleged, constrained by human-rights norms.</w:t>
      </w:r>
    </w:p>
    <w:p>
      <w:pPr>
        <w:pStyle w:val="BodyText"/>
      </w:pPr>
      <w:r>
        <w:t xml:space="preserve">U.S. law offers three main tools, each with a known failure mode: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Use and derivative-use immunity</w:t>
      </w:r>
      <w:r>
        <w:t xml:space="preserve"> </w:t>
      </w:r>
      <w:r>
        <w:t xml:space="preserve">(18 U.S.C. §§6002-6005) compels testimony but makes later</w:t>
      </w:r>
      <w:r>
        <w:t xml:space="preserve"> </w:t>
      </w:r>
      <w:r>
        <w:t xml:space="preserve">prosecution difficult. The Iran-Contra prosecutions of Oliver North and John Poindexter were reversed</w:t>
      </w:r>
      <w:r>
        <w:t xml:space="preserve"> </w:t>
      </w:r>
      <w:r>
        <w:t xml:space="preserve">because witnesses at trial had been exposed to the defendants’ immunized congressional testimony.</w:t>
      </w:r>
      <w:r>
        <w:t xml:space="preserve"> </w:t>
      </w:r>
      <w:r>
        <w:rPr>
          <w:iCs/>
          <w:i/>
        </w:rPr>
        <w:t xml:space="preserve">United States v. North</w:t>
      </w:r>
      <w:r>
        <w:t xml:space="preserve">, 910 F.2d 843 (D.C. Cir. 1990), modified, 920 F.2d 940 (D.C. Cir. 1990);</w:t>
      </w:r>
      <w:r>
        <w:t xml:space="preserve"> </w:t>
      </w:r>
      <w:r>
        <w:rPr>
          <w:iCs/>
          <w:i/>
        </w:rPr>
        <w:t xml:space="preserve">United States v. Poindexter</w:t>
      </w:r>
      <w:r>
        <w:t xml:space="preserve">, 951 F.2d 369 (D.C. Cir. 1991).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Pardons</w:t>
      </w:r>
      <w:r>
        <w:t xml:space="preserve"> </w:t>
      </w:r>
      <w:r>
        <w:t xml:space="preserve">(Art. II, §2) can cover federal offenses before charges are filed, but not state offenses</w:t>
      </w:r>
      <w:r>
        <w:t xml:space="preserve"> </w:t>
      </w:r>
      <w:r>
        <w:t xml:space="preserve">or civil liability, and acceptance carries political cost.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Statutory civil immunity</w:t>
      </w:r>
      <w:r>
        <w:t xml:space="preserve"> </w:t>
      </w:r>
      <w:r>
        <w:t xml:space="preserve">can extinguish federal claims, subject to due process and takings limits</w:t>
      </w:r>
      <w:r>
        <w:t xml:space="preserve"> </w:t>
      </w:r>
      <w:r>
        <w:t xml:space="preserve">for vested claims, and its reach over state-law claims depends on preemption.</w:t>
      </w:r>
    </w:p>
    <w:p>
      <w:pPr>
        <w:pStyle w:val="FirstParagraph"/>
      </w:pPr>
      <w:r>
        <w:t xml:space="preserve">The leading foreign model, South Africa’s Truth and Reconciliation Commission, granted individual</w:t>
      </w:r>
      <w:r>
        <w:t xml:space="preserve"> </w:t>
      </w:r>
      <w:r>
        <w:t xml:space="preserve">amnesty in exchange for full disclosure of politically motivated acts, and its Constitutional Court</w:t>
      </w:r>
      <w:r>
        <w:t xml:space="preserve"> </w:t>
      </w:r>
      <w:r>
        <w:t xml:space="preserve">upheld the scheme.</w:t>
      </w:r>
      <w:r>
        <w:t xml:space="preserve"> </w:t>
      </w:r>
      <w:r>
        <w:rPr>
          <w:iCs/>
          <w:i/>
        </w:rPr>
        <w:t xml:space="preserve">Azanian Peoples Organization (AZAPO) v. President of the Republic of South Africa</w:t>
      </w:r>
      <w:r>
        <w:t xml:space="preserve">,</w:t>
      </w:r>
      <w:r>
        <w:t xml:space="preserve"> </w:t>
      </w:r>
      <w:r>
        <w:t xml:space="preserve">[1996] ZACC 16, 1996 (8) BCLR 1015 (CC), paras. 17-19 (amnesty as the incentive for perpetrators to</w:t>
      </w:r>
      <w:r>
        <w:t xml:space="preserve"> </w:t>
      </w:r>
      <w:r>
        <w:t xml:space="preserve">disclose the truth), 32 (no breach of international law), 38 and 50-51 (extinguishment of civil claims</w:t>
      </w:r>
      <w:r>
        <w:t xml:space="preserve"> </w:t>
      </w:r>
      <w:r>
        <w:t xml:space="preserve">against perpetrators and the state upheld). The case is reported at 1996 (4) SA 671 (CC); SAFLII’s header gives the first page as 672. The closest modern counterpart, the United Kingdom’s Northern Ireland Troubles</w:t>
      </w:r>
      <w:r>
        <w:t xml:space="preserve"> </w:t>
      </w:r>
      <w:r>
        <w:t xml:space="preserve">(Legacy and Reconciliation) Act 2023, offered conditional immunity for truthful accounts. The Belfast High</w:t>
      </w:r>
      <w:r>
        <w:t xml:space="preserve"> </w:t>
      </w:r>
      <w:r>
        <w:t xml:space="preserve">Court declared the immunity provisions (ss. 7(3), 12, 19-22, 39, 41, 42(1)) incompatible with Articles 2 and 3 of</w:t>
      </w:r>
      <w:r>
        <w:t xml:space="preserve"> </w:t>
      </w:r>
      <w:r>
        <w:t xml:space="preserve">the European Convention on Human Rights and also held them of no force and effect under article 2 of the</w:t>
      </w:r>
      <w:r>
        <w:t xml:space="preserve"> </w:t>
      </w:r>
      <w:r>
        <w:t xml:space="preserve">Windsor Framework.</w:t>
      </w:r>
      <w:r>
        <w:t xml:space="preserve"> </w:t>
      </w:r>
      <w:r>
        <w:rPr>
          <w:iCs/>
          <w:i/>
        </w:rPr>
        <w:t xml:space="preserve">Re Dillon’s Application</w:t>
      </w:r>
      <w:r>
        <w:t xml:space="preserve">, [2024] NIKB 11, para.</w:t>
      </w:r>
      <w:r>
        <w:t xml:space="preserve"> </w:t>
      </w:r>
      <w:hyperlink r:id="rId23">
        <w:r>
          <w:rPr>
            <w:rStyle w:val="Hyperlink"/>
          </w:rPr>
          <w:t xml:space="preserve">710</w:t>
        </w:r>
      </w:hyperlink>
      <w:r>
        <w:t xml:space="preserve">-(ii) (Colton J., Feb. 28, 2024). The government did not pursue its appeal on the immunity point and announced that the</w:t>
      </w:r>
      <w:r>
        <w:t xml:space="preserve"> </w:t>
      </w:r>
      <w:r>
        <w:t xml:space="preserve">immunity would be repealed; as of October 15, 2026, legislation.gov.uk showed no enacted repeal of s. 19, so the</w:t>
      </w:r>
      <w:r>
        <w:t xml:space="preserve"> </w:t>
      </w:r>
      <w:r>
        <w:t xml:space="preserve">provisions remain on the statute book but disapplied.</w:t>
      </w:r>
    </w:p>
    <w:p>
      <w:pPr>
        <w:pStyle w:val="BodyText"/>
      </w:pPr>
      <w:r>
        <w:t xml:space="preserve">A U.S. UAP commission should therefore combine (1) a statutory commission with subpoena power and</w:t>
      </w:r>
      <w:r>
        <w:t xml:space="preserve"> </w:t>
      </w:r>
      <w:r>
        <w:t xml:space="preserve">cleared staff; (2) a carefully sequenced immunity process coordinated with the Department of Justice to</w:t>
      </w:r>
      <w:r>
        <w:t xml:space="preserve"> </w:t>
      </w:r>
      <w:r>
        <w:t xml:space="preserve">preserve prosecutions of the most serious conduct; (3) a statutory civil-liability shield limited to</w:t>
      </w:r>
      <w:r>
        <w:t xml:space="preserve"> </w:t>
      </w:r>
      <w:r>
        <w:t xml:space="preserve">specified conduct and conditioned on full and truthful testimony; (4) whistleblower protections</w:t>
      </w:r>
      <w:r>
        <w:t xml:space="preserve"> </w:t>
      </w:r>
      <w:r>
        <w:t xml:space="preserve">extending 50 U.S.C. §3373b; and (5) carve-outs from any immunity for homicide, torture, and similar</w:t>
      </w:r>
      <w:r>
        <w:t xml:space="preserve"> </w:t>
      </w:r>
      <w:r>
        <w:t xml:space="preserve">grave acts, which also addresses the human-rights objection that defeated the Northern Ireland scheme.</w:t>
      </w:r>
    </w:p>
    <w:p>
      <w:r>
        <w:pict>
          <v:rect style="width:0;height:1.5pt" o:hralign="center" o:hrstd="t" o:hr="t"/>
        </w:pict>
      </w:r>
    </w:p>
    <w:bookmarkEnd w:id="24"/>
    <w:bookmarkStart w:id="28" w:name="models"/>
    <w:p>
      <w:pPr>
        <w:pStyle w:val="Heading2"/>
      </w:pPr>
      <w:r>
        <w:t xml:space="preserve">2. Models</w:t>
      </w:r>
    </w:p>
    <w:bookmarkStart w:id="25" w:name="u.s.-congressional-investigations"/>
    <w:p>
      <w:pPr>
        <w:pStyle w:val="Heading3"/>
      </w:pPr>
      <w:r>
        <w:t xml:space="preserve">2.1 U.S. congressional investigations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Church Committee (1975-76).</w:t>
      </w:r>
      <w:r>
        <w:t xml:space="preserve"> </w:t>
      </w:r>
      <w:r>
        <w:t xml:space="preserve">Senate Select Committee established by S. Res. 21 (94th Cong.); obtained</w:t>
      </w:r>
      <w:r>
        <w:t xml:space="preserve"> </w:t>
      </w:r>
      <w:r>
        <w:t xml:space="preserve">classified records; held public and closed hearings; produced the reports that led to FISA and the</w:t>
      </w:r>
      <w:r>
        <w:t xml:space="preserve"> </w:t>
      </w:r>
      <w:r>
        <w:t xml:space="preserve">permanent intelligence committees. It relied on voluntary cooperation and subpoenas and did not use immunity</w:t>
      </w:r>
      <w:r>
        <w:t xml:space="preserve"> </w:t>
      </w:r>
      <w:r>
        <w:t xml:space="preserve">grants. Frederick A.O. Schwarz Jr., its chief counsel, later urged Congress to use the model for a</w:t>
      </w:r>
      <w:r>
        <w:t xml:space="preserve"> </w:t>
      </w:r>
      <w:r>
        <w:t xml:space="preserve">commission on post-2001 detention and surveillance (Senate Judiciary testimony, Mar. 4, 2009).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Iran-Contra (1987).</w:t>
      </w:r>
      <w:r>
        <w:t xml:space="preserve"> </w:t>
      </w:r>
      <w:r>
        <w:t xml:space="preserve">The House and Senate select committees immunized North and Poindexter under 18</w:t>
      </w:r>
      <w:r>
        <w:t xml:space="preserve"> </w:t>
      </w:r>
      <w:r>
        <w:t xml:space="preserve">U.S.C. §6005. Independent Counsel Walsh’s office</w:t>
      </w:r>
      <w:r>
        <w:t xml:space="preserve"> </w:t>
      </w:r>
      <w:r>
        <w:t xml:space="preserve">“</w:t>
      </w:r>
      <w:r>
        <w:t xml:space="preserve">canned</w:t>
      </w:r>
      <w:r>
        <w:t xml:space="preserve">”</w:t>
      </w:r>
      <w:r>
        <w:t xml:space="preserve"> </w:t>
      </w:r>
      <w:r>
        <w:t xml:space="preserve">its evidence before the immunized testimony,</w:t>
      </w:r>
      <w:r>
        <w:t xml:space="preserve"> </w:t>
      </w:r>
      <w:r>
        <w:t xml:space="preserve">but the D.C. Circuit held that the government must prove that trial witnesses’ testimony was not</w:t>
      </w:r>
      <w:r>
        <w:t xml:space="preserve"> </w:t>
      </w:r>
      <w:r>
        <w:t xml:space="preserve">shaped by exposure to the immunized testimony, witness by witness and even where the prosecution did</w:t>
      </w:r>
      <w:r>
        <w:t xml:space="preserve"> </w:t>
      </w:r>
      <w:r>
        <w:t xml:space="preserve">not cause the exposure.</w:t>
      </w:r>
      <w:r>
        <w:t xml:space="preserve"> </w:t>
      </w:r>
      <w:r>
        <w:rPr>
          <w:iCs/>
          <w:i/>
        </w:rPr>
        <w:t xml:space="preserve">North</w:t>
      </w:r>
      <w:r>
        <w:t xml:space="preserve">, 910 F.2d at 854, 872 (the inquiry</w:t>
      </w:r>
      <w:r>
        <w:t xml:space="preserve"> </w:t>
      </w:r>
      <w:r>
        <w:t xml:space="preserve">“</w:t>
      </w:r>
      <w:r>
        <w:t xml:space="preserve">must proceed witness-by-witness; if</w:t>
      </w:r>
      <w:r>
        <w:t xml:space="preserve"> </w:t>
      </w:r>
      <w:r>
        <w:t xml:space="preserve">necessary, it will proceed line-by-line and item-by-item,</w:t>
      </w:r>
      <w:r>
        <w:t xml:space="preserve">”</w:t>
      </w:r>
      <w:r>
        <w:t xml:space="preserve"> </w:t>
      </w:r>
      <w:r>
        <w:t xml:space="preserve">with the prosecution proving by a preponderance</w:t>
      </w:r>
      <w:r>
        <w:t xml:space="preserve"> </w:t>
      </w:r>
      <w:r>
        <w:t xml:space="preserve">that no use was made of immunized testimony);</w:t>
      </w:r>
      <w:r>
        <w:t xml:space="preserve"> </w:t>
      </w:r>
      <w:r>
        <w:rPr>
          <w:iCs/>
          <w:i/>
        </w:rPr>
        <w:t xml:space="preserve">Poindexter</w:t>
      </w:r>
      <w:r>
        <w:t xml:space="preserve">, 951 F.2d at 392-93</w:t>
      </w:r>
      <w:r>
        <w:t xml:space="preserve"> </w:t>
      </w:r>
      <w:r>
        <w:t xml:space="preserve">(convictions reversed because the government failed to show that a key witness’s testimony was not shaped by</w:t>
      </w:r>
      <w:r>
        <w:t xml:space="preserve"> </w:t>
      </w:r>
      <w:r>
        <w:t xml:space="preserve">exposure to the defendant’s immunized congressional testimony). Both convictions were ultimately vacated.</w:t>
      </w:r>
    </w:p>
    <w:bookmarkEnd w:id="25"/>
    <w:bookmarkStart w:id="26" w:name="statutory-commissions"/>
    <w:p>
      <w:pPr>
        <w:pStyle w:val="Heading3"/>
      </w:pPr>
      <w:r>
        <w:t xml:space="preserve">2.2 Statutory commissions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National Commission on Terrorist Attacks (9/11 Commission).</w:t>
      </w:r>
      <w:r>
        <w:t xml:space="preserve"> </w:t>
      </w:r>
      <w:r>
        <w:t xml:space="preserve">Pub. L. 107-306, Title VI: bipartisan</w:t>
      </w:r>
      <w:r>
        <w:t xml:space="preserve"> </w:t>
      </w:r>
      <w:r>
        <w:t xml:space="preserve">membership, subpoena power, access to classified material, fixed term. A template for structure.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Commission on Wartime Relocation and Internment of Civilians (1980-83).</w:t>
      </w:r>
      <w:r>
        <w:t xml:space="preserve"> </w:t>
      </w:r>
      <w:r>
        <w:t xml:space="preserve">Pub. L. 96-317: nine members,</w:t>
      </w:r>
      <w:r>
        <w:t xml:space="preserve"> </w:t>
      </w:r>
      <w:r>
        <w:t xml:space="preserve">public hearings with over 750 witnesses, findings that internment was a</w:t>
      </w:r>
      <w:r>
        <w:t xml:space="preserve"> </w:t>
      </w:r>
      <w:r>
        <w:t xml:space="preserve">“</w:t>
      </w:r>
      <w:r>
        <w:t xml:space="preserve">grave injustice,</w:t>
      </w:r>
      <w:r>
        <w:t xml:space="preserve">”</w:t>
      </w:r>
      <w:r>
        <w:t xml:space="preserve"> </w:t>
      </w:r>
      <w:r>
        <w:t xml:space="preserve">followed by</w:t>
      </w:r>
      <w:r>
        <w:t xml:space="preserve"> </w:t>
      </w:r>
      <w:r>
        <w:t xml:space="preserve">the Civil Liberties Act of 1988, Pub. L. 100-383 (formal apology and $20,000 per surviving person). A</w:t>
      </w:r>
      <w:r>
        <w:t xml:space="preserve"> </w:t>
      </w:r>
      <w:r>
        <w:t xml:space="preserve">template for acknowledgment and redress after official concealment.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Assassination Records Review Board (1994-98).</w:t>
      </w:r>
      <w:r>
        <w:t xml:space="preserve"> </w:t>
      </w:r>
      <w:r>
        <w:t xml:space="preserve">JFK Act: independent board for records, not</w:t>
      </w:r>
      <w:r>
        <w:t xml:space="preserve"> </w:t>
      </w:r>
      <w:r>
        <w:t xml:space="preserve">testimony; the House-passed UAP Disclosure Act adopts this model and adds subpoena power and witness</w:t>
      </w:r>
      <w:r>
        <w:t xml:space="preserve"> </w:t>
      </w:r>
      <w:r>
        <w:t xml:space="preserve">immunity eligibility (H.R. 8800 §1764(i)).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Rockefeller Commission (1975).</w:t>
      </w:r>
      <w:r>
        <w:t xml:space="preserve"> </w:t>
      </w:r>
      <w:r>
        <w:t xml:space="preserve">The Commission on CIA Activities within the United States, created by</w:t>
      </w:r>
      <w:r>
        <w:t xml:space="preserve"> </w:t>
      </w:r>
      <w:r>
        <w:t xml:space="preserve">executive order, investigated domestic intelligence abuses before the Church Committee did. It shows the limit of</w:t>
      </w:r>
      <w:r>
        <w:t xml:space="preserve"> </w:t>
      </w:r>
      <w:r>
        <w:t xml:space="preserve">executive self-investigation: no subpoena power, and a mandate set by the branch under scrutiny.</w:t>
      </w:r>
    </w:p>
    <w:bookmarkEnd w:id="26"/>
    <w:bookmarkStart w:id="27" w:name="foreign-models"/>
    <w:p>
      <w:pPr>
        <w:pStyle w:val="Heading3"/>
      </w:pPr>
      <w:r>
        <w:t xml:space="preserve">2.3 Foreign models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Mechanism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South Africa TRC, Promotion of National Unity and Reconciliation Act 34 of 1995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Amnesty Committee could grant individual amnesty from criminal and civil liability for acts associated with a political objective, on full disclosure (s. 20); state vicarious liability also extinguished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Upheld in</w:t>
            </w:r>
            <w:r>
              <w:t xml:space="preserve"> </w:t>
            </w:r>
            <w:r>
              <w:rPr>
                <w:iCs/>
                <w:i/>
              </w:rPr>
              <w:t xml:space="preserve">AZAPO</w:t>
            </w:r>
            <w:r>
              <w:t xml:space="preserve"> </w:t>
            </w:r>
            <w:r>
              <w:t xml:space="preserve">(1996); applications denied for incomplete disclosure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Northern Ireland Legacy Act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Independent Commission for Reconciliation and Information Recovery (ICRIR); conditional immunity for persons who gave a true 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Immunity held incompatible with ECHR arts. 2-3 and disapplied under the Windsor Framework (</w:t>
            </w:r>
            <w:r>
              <w:rPr>
                <w:iCs/>
                <w:i/>
              </w:rPr>
              <w:t xml:space="preserve">Dillon</w:t>
            </w:r>
            <w:r>
              <w:t xml:space="preserve">, [2024] NIKB 11, para. [710]); appeal on immunity abandoned July 2024; repeal announced but not enacted as of Oct. 15, 2026; UK Supreme Court upheld other parts under the Windsor Framework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Colombia Special Jurisdiction for Peace (JEP)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Reduced sanctions for full truth and acknowledgment; ordinary penalties for those who do not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Ongoing; widely studied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Canada, Truth and Reconciliation Commission (2008-2015)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Created under the Indian Residential Schools Settlement Agreement; gathered survivor statements and records; no power to make findings of individual criminal liability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report and Calls to Action (2015); a model for documenting institutional harm through a settlement-based commission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Argentina, CONADEP (1983-1984)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Presidential commission on the disappeared; took testimony and inspected detention sites; transmitted evidence to the courts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  <w:r>
              <w:t xml:space="preserve"> </w:t>
            </w:r>
            <w:r>
              <w:rPr>
                <w:iCs/>
                <w:i/>
              </w:rPr>
              <w:t xml:space="preserve">Nunca Más</w:t>
            </w:r>
            <w:r>
              <w:t xml:space="preserve"> </w:t>
            </w:r>
            <w:r>
              <w:t xml:space="preserve">(1984); its files supported later prosecutions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Chile, National Commission for Truth and Reconciliation (Rettig Commission, 1990-1991)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Presidential commission; documented deaths and disappearances; did not name perpetrators publicly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and reparations law; shows a design that separates truth-telling from attribution of individual guilt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Inter-American human rights system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Barrios Altos v. Peru</w:t>
            </w:r>
            <w:r>
              <w:t xml:space="preserve"> </w:t>
            </w:r>
            <w:r>
              <w:t xml:space="preserve">(Inter-Am. Ct. H.R. 2001): self-amnesty laws for grave violations incompatible with the American Convention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Limits amnesty for killings and torture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7"/>
    <w:bookmarkEnd w:id="28"/>
    <w:bookmarkStart w:id="37" w:name="u.s.-legal-tools-in-detail"/>
    <w:p>
      <w:pPr>
        <w:pStyle w:val="Heading2"/>
      </w:pPr>
      <w:r>
        <w:t xml:space="preserve">3. U.S. legal tools in detail</w:t>
      </w:r>
    </w:p>
    <w:bookmarkStart w:id="29" w:name="compulsory-process"/>
    <w:p>
      <w:pPr>
        <w:pStyle w:val="Heading3"/>
      </w:pPr>
      <w:r>
        <w:t xml:space="preserve">3.1 Compulsory process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Congressional subpoenas</w:t>
      </w:r>
      <w:r>
        <w:t xml:space="preserve"> </w:t>
      </w:r>
      <w:r>
        <w:t xml:space="preserve">are enforceable by criminal contempt (2 U.S.C. §§192, 194), inherent</w:t>
      </w:r>
      <w:r>
        <w:t xml:space="preserve"> </w:t>
      </w:r>
      <w:r>
        <w:t xml:space="preserve">contempt, or civil enforcement.</w:t>
      </w:r>
      <w:r>
        <w:t xml:space="preserve"> </w:t>
      </w:r>
      <w:r>
        <w:rPr>
          <w:iCs/>
          <w:i/>
        </w:rPr>
        <w:t xml:space="preserve">Trump v. Mazars USA, LLP</w:t>
      </w:r>
      <w:r>
        <w:t xml:space="preserve">, 591 U.S. 848 (2020), limits subpoenas for</w:t>
      </w:r>
      <w:r>
        <w:t xml:space="preserve"> </w:t>
      </w:r>
      <w:r>
        <w:t xml:space="preserve">presidential information.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Statutory commission subpoenas</w:t>
      </w:r>
      <w:r>
        <w:t xml:space="preserve"> </w:t>
      </w:r>
      <w:r>
        <w:t xml:space="preserve">are enforced in district court on application of the commission or</w:t>
      </w:r>
      <w:r>
        <w:t xml:space="preserve"> </w:t>
      </w:r>
      <w:r>
        <w:t xml:space="preserve">the Attorney General, as the authorizing statute provides.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Speech or Debate protection for staff.</w:t>
      </w:r>
      <w:r>
        <w:t xml:space="preserve"> </w:t>
      </w:r>
      <w:r>
        <w:t xml:space="preserve">Members and their aides are immune from questioning about legislative</w:t>
      </w:r>
      <w:r>
        <w:t xml:space="preserve"> </w:t>
      </w:r>
      <w:r>
        <w:t xml:space="preserve">acts, including the handling of classified material in committee.</w:t>
      </w:r>
      <w:r>
        <w:t xml:space="preserve"> </w:t>
      </w:r>
      <w:r>
        <w:rPr>
          <w:iCs/>
          <w:i/>
        </w:rPr>
        <w:t xml:space="preserve">Gravel v. United States</w:t>
      </w:r>
      <w:r>
        <w:t xml:space="preserve">, 408 U.S. 606, 616-17</w:t>
      </w:r>
      <w:r>
        <w:t xml:space="preserve"> </w:t>
      </w:r>
      <w:r>
        <w:t xml:space="preserve">(1972). Committee staff who receive classified testimony from UAP witnesses are protected for the legislative work</w:t>
      </w:r>
      <w:r>
        <w:t xml:space="preserve"> </w:t>
      </w:r>
      <w:r>
        <w:t xml:space="preserve">itself, but</w:t>
      </w:r>
      <w:r>
        <w:t xml:space="preserve"> </w:t>
      </w:r>
      <w:r>
        <w:rPr>
          <w:iCs/>
          <w:i/>
        </w:rPr>
        <w:t xml:space="preserve">Gravel</w:t>
      </w:r>
      <w:r>
        <w:t xml:space="preserve"> </w:t>
      </w:r>
      <w:r>
        <w:t xml:space="preserve">held that the clause did not protect private republication outside the legislative process.</w:t>
      </w:r>
    </w:p>
    <w:bookmarkEnd w:id="29"/>
    <w:bookmarkStart w:id="31" w:name="immunity"/>
    <w:p>
      <w:pPr>
        <w:pStyle w:val="Heading3"/>
      </w:pPr>
      <w:r>
        <w:t xml:space="preserve">3.2 Immunity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Statute.</w:t>
      </w:r>
      <w:r>
        <w:t xml:space="preserve"> </w:t>
      </w:r>
      <w:r>
        <w:t xml:space="preserve">18 U.S.C. §6002 confers use and derivative-use immunity on a witness compelled to testify</w:t>
      </w:r>
      <w:r>
        <w:t xml:space="preserve"> </w:t>
      </w:r>
      <w:r>
        <w:t xml:space="preserve">over a Fifth Amendment claim. For congressional proceedings, §6005 requires the affirmative vote of a</w:t>
      </w:r>
      <w:r>
        <w:t xml:space="preserve"> </w:t>
      </w:r>
      <w:r>
        <w:t xml:space="preserve">majority of the members present of the full House or Senate, or of two-thirds of the members of the</w:t>
      </w:r>
      <w:r>
        <w:t xml:space="preserve"> </w:t>
      </w:r>
      <w:r>
        <w:t xml:space="preserve">full committee, and at least ten days’ notice to the Attorney General, who may</w:t>
      </w:r>
      <w:r>
        <w:t xml:space="preserve"> </w:t>
      </w:r>
      <w:r>
        <w:t xml:space="preserve">request a deferral of up to twenty days. For agencies, §6004 requires Attorney General approval. A</w:t>
      </w:r>
      <w:r>
        <w:t xml:space="preserve"> </w:t>
      </w:r>
      <w:r>
        <w:t xml:space="preserve">commission must be designated an</w:t>
      </w:r>
      <w:r>
        <w:t xml:space="preserve"> </w:t>
      </w:r>
      <w:r>
        <w:t xml:space="preserve">“</w:t>
      </w:r>
      <w:r>
        <w:t xml:space="preserve">agency of the United States</w:t>
      </w:r>
      <w:r>
        <w:t xml:space="preserve">”</w:t>
      </w:r>
      <w:r>
        <w:t xml:space="preserve"> </w:t>
      </w:r>
      <w:r>
        <w:t xml:space="preserve">under §6001 to use §6004 (H.R. 8800</w:t>
      </w:r>
      <w:r>
        <w:t xml:space="preserve"> </w:t>
      </w:r>
      <w:r>
        <w:t xml:space="preserve">§1764(i) does this for the UAP Records Review Board).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Scope.</w:t>
      </w:r>
      <w:r>
        <w:t xml:space="preserve"> </w:t>
      </w:r>
      <w:r>
        <w:t xml:space="preserve">Use and derivative-use immunity is coextensive with the Fifth Amendment privilege.</w:t>
      </w:r>
      <w:r>
        <w:t xml:space="preserve"> </w:t>
      </w:r>
      <w:r>
        <w:rPr>
          <w:iCs/>
          <w:i/>
        </w:rPr>
        <w:t xml:space="preserve">Kastigar v. United States</w:t>
      </w:r>
      <w:r>
        <w:t xml:space="preserve">, 406 U.S. 441 (1972). The government may still prosecute, but bears the</w:t>
      </w:r>
      <w:r>
        <w:t xml:space="preserve"> </w:t>
      </w:r>
      <w:r>
        <w:t xml:space="preserve">“</w:t>
      </w:r>
      <w:r>
        <w:t xml:space="preserve">heavy burden</w:t>
      </w:r>
      <w:r>
        <w:t xml:space="preserve">”</w:t>
      </w:r>
      <w:r>
        <w:t xml:space="preserve"> </w:t>
      </w:r>
      <w:r>
        <w:t xml:space="preserve">of proving that its evidence derives from independent sources.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Taint in practice.</w:t>
      </w:r>
      <w:r>
        <w:t xml:space="preserve"> </w:t>
      </w:r>
      <w:r>
        <w:rPr>
          <w:iCs/>
          <w:i/>
        </w:rPr>
        <w:t xml:space="preserve">North</w:t>
      </w:r>
      <w:r>
        <w:t xml:space="preserve">,</w:t>
      </w:r>
      <w:r>
        <w:t xml:space="preserve"> </w:t>
      </w:r>
      <w:r>
        <w:rPr>
          <w:iCs/>
          <w:i/>
        </w:rPr>
        <w:t xml:space="preserve">Poindexter</w:t>
      </w:r>
      <w:r>
        <w:t xml:space="preserve">, and</w:t>
      </w:r>
      <w:r>
        <w:t xml:space="preserve"> </w:t>
      </w:r>
      <w:r>
        <w:rPr>
          <w:iCs/>
          <w:i/>
        </w:rPr>
        <w:t xml:space="preserve">United States v. Slough</w:t>
      </w:r>
      <w:r>
        <w:t xml:space="preserve">, 641 F.3d 544 (D.C. Cir.</w:t>
      </w:r>
      <w:r>
        <w:t xml:space="preserve"> </w:t>
      </w:r>
      <w:r>
        <w:t xml:space="preserve">2011), show the burden. In</w:t>
      </w:r>
      <w:r>
        <w:t xml:space="preserve"> </w:t>
      </w:r>
      <w:r>
        <w:rPr>
          <w:iCs/>
          <w:i/>
        </w:rPr>
        <w:t xml:space="preserve">Slough</w:t>
      </w:r>
      <w:r>
        <w:t xml:space="preserve">, Blackwater guards had given compelled statements to State</w:t>
      </w:r>
      <w:r>
        <w:t xml:space="preserve"> </w:t>
      </w:r>
      <w:r>
        <w:t xml:space="preserve">Department investigators; the district court dismissed the indictment for taint. The D.C. Circuit</w:t>
      </w:r>
      <w:r>
        <w:t xml:space="preserve"> </w:t>
      </w:r>
      <w:r>
        <w:t xml:space="preserve">vacated and required a segregated, witness-by-witness and defendant-by-defendant analysis, holding</w:t>
      </w:r>
      <w:r>
        <w:t xml:space="preserve"> </w:t>
      </w:r>
      <w:r>
        <w:t xml:space="preserve">that a witness’s evidence is excluded only if the witness would not have testified as he did absent</w:t>
      </w:r>
      <w:r>
        <w:t xml:space="preserve"> </w:t>
      </w:r>
      <w:r>
        <w:t xml:space="preserve">exposure to immunized statements, and that the prosecutor’s charging decision could be influenced by</w:t>
      </w:r>
      <w:r>
        <w:t xml:space="preserve"> </w:t>
      </w:r>
      <w:r>
        <w:t xml:space="preserve">immunized statements (as a matter of apparent first impression in that circuit).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Transactional immunity</w:t>
      </w:r>
      <w:r>
        <w:t xml:space="preserve"> </w:t>
      </w:r>
      <w:r>
        <w:t xml:space="preserve">(full protection from prosecution for the transaction) is not available</w:t>
      </w:r>
      <w:r>
        <w:t xml:space="preserve"> </w:t>
      </w:r>
      <w:r>
        <w:t xml:space="preserve">under federal statute but can be granted by non-prosecution agreement or created by a new statute.</w:t>
      </w:r>
      <w:r>
        <w:t xml:space="preserve"> </w:t>
      </w:r>
      <w:r>
        <w:t xml:space="preserve">The NPI draft Enhanced UAP Whistleblower Protection Act would authorize the Attorney General to grant</w:t>
      </w:r>
      <w:r>
        <w:t xml:space="preserve"> </w:t>
      </w:r>
      <w:r>
        <w:t xml:space="preserve">use or transactional immunity in UAP-related criminal cases (sunset 2029) (</w:t>
      </w:r>
      <w:hyperlink r:id="rId30">
        <w:r>
          <w:rPr>
            <w:rStyle w:val="Hyperlink"/>
          </w:rPr>
          <w:t xml:space="preserve">Issue A3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State prosecutions.</w:t>
      </w:r>
      <w:r>
        <w:t xml:space="preserve"> </w:t>
      </w:r>
      <w:r>
        <w:t xml:space="preserve">A federal immunity grant binds states as to use and derivative use (</w:t>
      </w:r>
      <w:r>
        <w:rPr>
          <w:iCs/>
          <w:i/>
        </w:rPr>
        <w:t xml:space="preserve">Murphy v.</w:t>
      </w:r>
      <w:r>
        <w:rPr>
          <w:iCs/>
          <w:i/>
        </w:rPr>
        <w:t xml:space="preserve"> </w:t>
      </w:r>
      <w:r>
        <w:rPr>
          <w:iCs/>
          <w:i/>
        </w:rPr>
        <w:t xml:space="preserve">Waterfront Commission</w:t>
      </w:r>
      <w:r>
        <w:t xml:space="preserve">, 378 U.S. 52 (1964)), but a federal pardon or non-prosecution agreement does not</w:t>
      </w:r>
      <w:r>
        <w:t xml:space="preserve"> </w:t>
      </w:r>
      <w:r>
        <w:t xml:space="preserve">prevent state prosecution under state law, for example for homicide.</w:t>
      </w:r>
    </w:p>
    <w:bookmarkEnd w:id="31"/>
    <w:bookmarkStart w:id="32" w:name="Xecc16ac95d31eaca2426a9f5cfa2bf82882a858"/>
    <w:p>
      <w:pPr>
        <w:pStyle w:val="Heading3"/>
      </w:pPr>
      <w:r>
        <w:t xml:space="preserve">3.3 Practical sequencing to protect prosecutions</w:t>
      </w:r>
    </w:p>
    <w:p>
      <w:pPr>
        <w:pStyle w:val="Compact"/>
        <w:numPr>
          <w:ilvl w:val="0"/>
          <w:numId w:val="1007"/>
        </w:numPr>
      </w:pPr>
      <w:r>
        <w:t xml:space="preserve">Before any immunized testimony, the Department of Justice should identify likely targets and</w:t>
      </w:r>
      <w:r>
        <w:t xml:space="preserve"> </w:t>
      </w:r>
      <w:r>
        <w:t xml:space="preserve">“</w:t>
      </w:r>
      <w:r>
        <w:t xml:space="preserve">can</w:t>
      </w:r>
      <w:r>
        <w:t xml:space="preserve">”</w:t>
      </w:r>
      <w:r>
        <w:t xml:space="preserve"> </w:t>
      </w:r>
      <w:r>
        <w:t xml:space="preserve">its existing evidence (seal and date-stamp it) so independent sources can later be proved.</w:t>
      </w:r>
    </w:p>
    <w:p>
      <w:pPr>
        <w:pStyle w:val="Compact"/>
        <w:numPr>
          <w:ilvl w:val="0"/>
          <w:numId w:val="1007"/>
        </w:numPr>
      </w:pPr>
      <w:r>
        <w:t xml:space="preserve">Hold immunized testimony in closed session, restrict transcripts, and keep investigators and potential</w:t>
      </w:r>
      <w:r>
        <w:t xml:space="preserve"> </w:t>
      </w:r>
      <w:r>
        <w:t xml:space="preserve">trial witnesses from exposure.</w:t>
      </w:r>
    </w:p>
    <w:p>
      <w:pPr>
        <w:pStyle w:val="Compact"/>
        <w:numPr>
          <w:ilvl w:val="0"/>
          <w:numId w:val="1007"/>
        </w:numPr>
      </w:pPr>
      <w:r>
        <w:t xml:space="preserve">Prioritize lower-level participants for immunity and reserve senior decision-makers and the gravest</w:t>
      </w:r>
      <w:r>
        <w:t xml:space="preserve"> </w:t>
      </w:r>
      <w:r>
        <w:t xml:space="preserve">conduct for prosecution or for conditional, non-immunized testimony.</w:t>
      </w:r>
    </w:p>
    <w:p>
      <w:pPr>
        <w:pStyle w:val="Compact"/>
        <w:numPr>
          <w:ilvl w:val="0"/>
          <w:numId w:val="1007"/>
        </w:numPr>
      </w:pPr>
      <w:r>
        <w:t xml:space="preserve">Use proffer agreements (</w:t>
      </w:r>
      <w:r>
        <w:t xml:space="preserve">“</w:t>
      </w:r>
      <w:r>
        <w:t xml:space="preserve">queen for a day</w:t>
      </w:r>
      <w:r>
        <w:t xml:space="preserve">”</w:t>
      </w:r>
      <w:r>
        <w:t xml:space="preserve">) to learn what a witness knows before deciding on immunity.</w:t>
      </w:r>
    </w:p>
    <w:bookmarkEnd w:id="32"/>
    <w:bookmarkStart w:id="34" w:name="X62b458322b5dccd711c30c99ede486620dffb30"/>
    <w:p>
      <w:pPr>
        <w:pStyle w:val="Heading3"/>
      </w:pPr>
      <w:r>
        <w:t xml:space="preserve">3.4 Pardons, amnesty orders, and witness protection</w:t>
      </w:r>
    </w:p>
    <w:p>
      <w:pPr>
        <w:pStyle w:val="FirstParagraph"/>
      </w:pPr>
      <w:r>
        <w:rPr>
          <w:bCs/>
          <w:b/>
        </w:rPr>
        <w:t xml:space="preserve">Proposals for an amnesty order.</w:t>
      </w:r>
      <w:r>
        <w:t xml:space="preserve"> </w:t>
      </w:r>
      <w:r>
        <w:t xml:space="preserve">A former director of the Navy’s UAP Task Force has urged the President to issue</w:t>
      </w:r>
      <w:r>
        <w:t xml:space="preserve"> </w:t>
      </w:r>
      <w:r>
        <w:t xml:space="preserve">“</w:t>
      </w:r>
      <w:r>
        <w:t xml:space="preserve">an executive order, giving carefully structured amnesty protections to those involved in the Legacy Program so</w:t>
      </w:r>
      <w:r>
        <w:t xml:space="preserve"> </w:t>
      </w:r>
      <w:r>
        <w:t xml:space="preserve">they can safely step out of the shadows and share what they have learned, even if only within classified channels,</w:t>
      </w:r>
      <w:r>
        <w:t xml:space="preserve">”</w:t>
      </w:r>
      <w:r>
        <w:t xml:space="preserve"> </w:t>
      </w:r>
      <w:r>
        <w:t xml:space="preserve">and reports that the White House and the DNI have signaled immunity for those who come forward. Jay Stratton,</w:t>
      </w:r>
      <w:r>
        <w:t xml:space="preserve"> </w:t>
      </w:r>
      <w:r>
        <w:rPr>
          <w:iCs/>
          <w:i/>
        </w:rPr>
        <w:t xml:space="preserve">Out</w:t>
      </w:r>
      <w:r>
        <w:rPr>
          <w:iCs/>
          <w:i/>
        </w:rPr>
        <w:t xml:space="preserve"> </w:t>
      </w:r>
      <w:r>
        <w:rPr>
          <w:iCs/>
          <w:i/>
        </w:rPr>
        <w:t xml:space="preserve">of the Shadows</w:t>
      </w:r>
      <w:r>
        <w:t xml:space="preserve"> </w:t>
      </w:r>
      <w:r>
        <w:t xml:space="preserve">chs. 66-67 (2026). An executive order of that kind can do less than its name suggests. It can</w:t>
      </w:r>
      <w:r>
        <w:t xml:space="preserve"> </w:t>
      </w:r>
      <w:r>
        <w:t xml:space="preserve">announce a pardon policy and direct prosecutors not to charge, and the President may then pardon individuals; it</w:t>
      </w:r>
      <w:r>
        <w:t xml:space="preserve"> </w:t>
      </w:r>
      <w:r>
        <w:t xml:space="preserve">cannot immunize anyone from state prosecution or civil suit, and it does not bind a later administration’s</w:t>
      </w:r>
      <w:r>
        <w:t xml:space="preserve"> </w:t>
      </w:r>
      <w:r>
        <w:t xml:space="preserve">prosecutors except through pardons actually granted. The same author suggests the program may have operated under</w:t>
      </w:r>
      <w:r>
        <w:t xml:space="preserve"> </w:t>
      </w:r>
      <w:r>
        <w:t xml:space="preserve">authorities granted by President Truman, so that participants believed they were acting lawfully (</w:t>
      </w:r>
      <w:r>
        <w:rPr>
          <w:iCs/>
          <w:i/>
        </w:rPr>
        <w:t xml:space="preserve">id.</w:t>
      </w:r>
      <w:r>
        <w:t xml:space="preserve"> </w:t>
      </w:r>
      <w:r>
        <w:t xml:space="preserve">ch. 67).</w:t>
      </w:r>
      <w:r>
        <w:t xml:space="preserve"> </w:t>
      </w:r>
      <w:r>
        <w:t xml:space="preserve">If so, that belief bears on mens rea and on the public-authority defense (</w:t>
      </w:r>
      <w:hyperlink r:id="rId33">
        <w:r>
          <w:rPr>
            <w:rStyle w:val="Hyperlink"/>
          </w:rPr>
          <w:t xml:space="preserve">Issue A2</w:t>
        </w:r>
      </w:hyperlink>
      <w:r>
        <w:t xml:space="preserve">) whatever the order says.</w:t>
      </w:r>
    </w:p>
    <w:p>
      <w:pPr>
        <w:pStyle w:val="BodyText"/>
      </w:pPr>
      <w:r>
        <w:rPr>
          <w:bCs/>
          <w:b/>
        </w:rPr>
        <w:t xml:space="preserve">Witness protection.</w:t>
      </w:r>
      <w:r>
        <w:t xml:space="preserve"> </w:t>
      </w:r>
      <w:r>
        <w:t xml:space="preserve">Witnesses who report threats can be relocated and protected under 18 U.S.C. §3521 on the</w:t>
      </w:r>
      <w:r>
        <w:t xml:space="preserve"> </w:t>
      </w:r>
      <w:r>
        <w:t xml:space="preserve">Attorney General’s determination. A commission statute should give its chair a way to request that protection for</w:t>
      </w:r>
      <w:r>
        <w:t xml:space="preserve"> </w:t>
      </w:r>
      <w:r>
        <w:t xml:space="preserve">witnesses in its proceedings.</w:t>
      </w:r>
    </w:p>
    <w:p>
      <w:pPr>
        <w:pStyle w:val="BodyText"/>
      </w:pPr>
      <w:r>
        <w:rPr>
          <w:bCs/>
          <w:b/>
        </w:rPr>
        <w:t xml:space="preserve">Pardons.</w:t>
      </w:r>
    </w:p>
    <w:p>
      <w:pPr>
        <w:pStyle w:val="BodyText"/>
      </w:pPr>
      <w:r>
        <w:t xml:space="preserve">The President may pardon federal offenses before charge (</w:t>
      </w:r>
      <w:r>
        <w:rPr>
          <w:iCs/>
          <w:i/>
        </w:rPr>
        <w:t xml:space="preserve">Ex parte Garland</w:t>
      </w:r>
      <w:r>
        <w:t xml:space="preserve">, 71 U.S. 333 (1866); the</w:t>
      </w:r>
      <w:r>
        <w:t xml:space="preserve"> </w:t>
      </w:r>
      <w:r>
        <w:t xml:space="preserve">Ford pardon of Nixon). A pardon may be conditional.</w:t>
      </w:r>
      <w:r>
        <w:t xml:space="preserve"> </w:t>
      </w:r>
      <w:r>
        <w:rPr>
          <w:iCs/>
          <w:i/>
        </w:rPr>
        <w:t xml:space="preserve">Burdick v. United States</w:t>
      </w:r>
      <w:r>
        <w:t xml:space="preserve">, 236 U.S. 79 (1915),</w:t>
      </w:r>
      <w:r>
        <w:t xml:space="preserve"> </w:t>
      </w:r>
      <w:r>
        <w:t xml:space="preserve">suggests that acceptance implies an admission, which matters politically. A pardon does not reach state</w:t>
      </w:r>
      <w:r>
        <w:t xml:space="preserve"> </w:t>
      </w:r>
      <w:r>
        <w:t xml:space="preserve">offenses or civil claims and does not compel testimony (a pardoned witness who no longer faces federal</w:t>
      </w:r>
      <w:r>
        <w:t xml:space="preserve"> </w:t>
      </w:r>
      <w:r>
        <w:t xml:space="preserve">jeopardy may be compelled to testify, subject to state-law and foreign exposure).</w:t>
      </w:r>
    </w:p>
    <w:bookmarkEnd w:id="34"/>
    <w:bookmarkStart w:id="36" w:name="civil-liability"/>
    <w:p>
      <w:pPr>
        <w:pStyle w:val="Heading3"/>
      </w:pPr>
      <w:r>
        <w:t xml:space="preserve">3.5 Civil liability</w:t>
      </w:r>
    </w:p>
    <w:p>
      <w:pPr>
        <w:pStyle w:val="FirstParagraph"/>
      </w:pPr>
      <w:r>
        <w:t xml:space="preserve">Congress can create defenses to federal claims and can preempt state tort claims within its powers, but</w:t>
      </w:r>
      <w:r>
        <w:t xml:space="preserve"> </w:t>
      </w:r>
      <w:r>
        <w:rPr>
          <w:iCs/>
          <w:i/>
        </w:rPr>
        <w:t xml:space="preserve">Hencely v. Fluor Corp.</w:t>
      </w:r>
      <w:r>
        <w:t xml:space="preserve">, 608 U.S. 31 (2026), shows the Supreme Court’s reluctance to infer preemption of</w:t>
      </w:r>
      <w:r>
        <w:t xml:space="preserve"> </w:t>
      </w:r>
      <w:r>
        <w:t xml:space="preserve">state tort claims against contractors acting without authorization (</w:t>
      </w:r>
      <w:hyperlink r:id="rId35">
        <w:r>
          <w:rPr>
            <w:rStyle w:val="Hyperlink"/>
          </w:rPr>
          <w:t xml:space="preserve">Issue A1</w:t>
        </w:r>
      </w:hyperlink>
      <w:r>
        <w:t xml:space="preserve">, D5). A statutory shield</w:t>
      </w:r>
      <w:r>
        <w:t xml:space="preserve"> </w:t>
      </w:r>
      <w:r>
        <w:t xml:space="preserve">must be express. Claims that have accrued are property for due process purposes in some contexts; a</w:t>
      </w:r>
      <w:r>
        <w:t xml:space="preserve"> </w:t>
      </w:r>
      <w:r>
        <w:t xml:space="preserve">shield that extinguishes them may invite takings or due process challenges, which can be addressed by</w:t>
      </w:r>
      <w:r>
        <w:t xml:space="preserve"> </w:t>
      </w:r>
      <w:r>
        <w:t xml:space="preserve">providing an alternative compensation fund (as the September 11th Victim Compensation Fund and the</w:t>
      </w:r>
      <w:r>
        <w:t xml:space="preserve"> </w:t>
      </w:r>
      <w:r>
        <w:t xml:space="preserve">Civil Liberties Act of 1988 did).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39" w:name="human-rights-constraints"/>
    <w:p>
      <w:pPr>
        <w:pStyle w:val="Heading2"/>
      </w:pPr>
      <w:r>
        <w:t xml:space="preserve">4. Human-rights constraints</w:t>
      </w:r>
    </w:p>
    <w:p>
      <w:pPr>
        <w:pStyle w:val="FirstParagraph"/>
      </w:pPr>
      <w:r>
        <w:t xml:space="preserve">If NHI are treated as rights-holders (</w:t>
      </w:r>
      <w:hyperlink r:id="rId38">
        <w:r>
          <w:rPr>
            <w:rStyle w:val="Hyperlink"/>
          </w:rPr>
          <w:t xml:space="preserve">Issue F2</w:t>
        </w:r>
      </w:hyperlink>
      <w:r>
        <w:t xml:space="preserve">), or if UAP programs injured humans (experiencers,</w:t>
      </w:r>
      <w:r>
        <w:t xml:space="preserve"> </w:t>
      </w:r>
      <w:r>
        <w:t xml:space="preserve">workers, service members), international human-rights law disfavors amnesty for grave violations:</w:t>
      </w:r>
    </w:p>
    <w:p>
      <w:pPr>
        <w:pStyle w:val="Compact"/>
        <w:numPr>
          <w:ilvl w:val="0"/>
          <w:numId w:val="1008"/>
        </w:numPr>
      </w:pPr>
      <w:r>
        <w:t xml:space="preserve">ECHR Articles 2 and 3 require effective investigation of killings and torture; the Belfast High Court</w:t>
      </w:r>
      <w:r>
        <w:t xml:space="preserve"> </w:t>
      </w:r>
      <w:r>
        <w:t xml:space="preserve">applied that requirement to strike conditional immunity in the Legacy Act. The United States is not a</w:t>
      </w:r>
      <w:r>
        <w:t xml:space="preserve"> </w:t>
      </w:r>
      <w:r>
        <w:t xml:space="preserve">party to the ECHR, but U.K. and European participants in any multinational disclosure would be bound.</w:t>
      </w:r>
    </w:p>
    <w:p>
      <w:pPr>
        <w:pStyle w:val="Compact"/>
        <w:numPr>
          <w:ilvl w:val="0"/>
          <w:numId w:val="1008"/>
        </w:numPr>
      </w:pPr>
      <w:r>
        <w:t xml:space="preserve">The ICCPR (Arts. 2(3), 6, 7) and the Convention Against Torture (Art. 4, 7, 14) require investigation,</w:t>
      </w:r>
      <w:r>
        <w:t xml:space="preserve"> </w:t>
      </w:r>
      <w:r>
        <w:t xml:space="preserve">prosecution or extradition, and remedies for torture; the United States is a party to both.</w:t>
      </w:r>
    </w:p>
    <w:p>
      <w:pPr>
        <w:pStyle w:val="Compact"/>
        <w:numPr>
          <w:ilvl w:val="0"/>
          <w:numId w:val="1008"/>
        </w:numPr>
      </w:pPr>
      <w:r>
        <w:t xml:space="preserve">The OHCHR’s</w:t>
      </w:r>
      <w:r>
        <w:t xml:space="preserve"> </w:t>
      </w:r>
      <w:r>
        <w:rPr>
          <w:iCs/>
          <w:i/>
        </w:rPr>
        <w:t xml:space="preserve">Study on the Right to the Truth</w:t>
      </w:r>
      <w:r>
        <w:t xml:space="preserve"> </w:t>
      </w:r>
      <w:r>
        <w:t xml:space="preserve">(E/CN.4/2006/91) links truth commissions to the state’s</w:t>
      </w:r>
      <w:r>
        <w:t xml:space="preserve"> </w:t>
      </w:r>
      <w:r>
        <w:t xml:space="preserve">duty to investigate and provide remedies, and treats amnesty for gross violations as incompatible.</w:t>
      </w:r>
    </w:p>
    <w:p>
      <w:pPr>
        <w:pStyle w:val="FirstParagraph"/>
      </w:pPr>
      <w:r>
        <w:t xml:space="preserve">A commission statute that excludes torture, killings, and enforced disappearance from immunity, and that</w:t>
      </w:r>
      <w:r>
        <w:t xml:space="preserve"> </w:t>
      </w:r>
      <w:r>
        <w:t xml:space="preserve">provides for victims’ participation and remedies, will avoid most of these objections.</w:t>
      </w:r>
    </w:p>
    <w:p>
      <w:r>
        <w:pict>
          <v:rect style="width:0;height:1.5pt" o:hralign="center" o:hrstd="t" o:hr="t"/>
        </w:pict>
      </w:r>
    </w:p>
    <w:bookmarkEnd w:id="39"/>
    <w:bookmarkStart w:id="41" w:name="X9c6cdf8caafd931d1cecb14958e9dbd35d84004"/>
    <w:p>
      <w:pPr>
        <w:pStyle w:val="Heading2"/>
      </w:pPr>
      <w:r>
        <w:t xml:space="preserve">5. Design recommendations for a UAP Truth and Reconciliation Commission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Charter.</w:t>
      </w:r>
      <w:r>
        <w:t xml:space="preserve"> </w:t>
      </w:r>
      <w:r>
        <w:t xml:space="preserve">Statutory commission, independent agency, bipartisan appointment with Senate</w:t>
      </w:r>
      <w:r>
        <w:t xml:space="preserve"> </w:t>
      </w:r>
      <w:r>
        <w:t xml:space="preserve">confirmation; members without involvement in legacy programs (H.R. 8800 §1764(b)(4) offers language).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Mandate.</w:t>
      </w:r>
      <w:r>
        <w:t xml:space="preserve"> </w:t>
      </w:r>
      <w:r>
        <w:t xml:space="preserve">Establish the history of UAP programs, including retrieval, exploitation, concealment</w:t>
      </w:r>
      <w:r>
        <w:t xml:space="preserve"> </w:t>
      </w:r>
      <w:r>
        <w:t xml:space="preserve">from Congress, funding, treatment of witnesses and whistleblowers, and any harm to humans or NHI;</w:t>
      </w:r>
      <w:r>
        <w:t xml:space="preserve"> </w:t>
      </w:r>
      <w:r>
        <w:t xml:space="preserve">recommend reforms and redress.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Access.</w:t>
      </w:r>
      <w:r>
        <w:t xml:space="preserve"> </w:t>
      </w:r>
      <w:r>
        <w:t xml:space="preserve">Statutory override of SAP access restrictions (10 U.S.C. §119; agency SAP rules) for</w:t>
      </w:r>
      <w:r>
        <w:t xml:space="preserve"> </w:t>
      </w:r>
      <w:r>
        <w:t xml:space="preserve">cleared commission staff; access to contractor facilities and records; authority to examine material.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Powers.</w:t>
      </w:r>
      <w:r>
        <w:t xml:space="preserve"> </w:t>
      </w:r>
      <w:r>
        <w:t xml:space="preserve">Subpoena power enforceable in D.D.C.; designation as an agency under 18 U.S.C. §6001.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Immunity process.</w:t>
      </w:r>
      <w:r>
        <w:t xml:space="preserve"> </w:t>
      </w:r>
      <w:r>
        <w:t xml:space="preserve">Proffer, then a DOJ-coordinated §6004 application, with (a) mandatory pre-testimony</w:t>
      </w:r>
      <w:r>
        <w:t xml:space="preserve"> </w:t>
      </w:r>
      <w:r>
        <w:t xml:space="preserve">evidence canning by DOJ; (b) closed sessions; (c) a statutory list of excluded conduct (homicide,</w:t>
      </w:r>
      <w:r>
        <w:t xml:space="preserve"> </w:t>
      </w:r>
      <w:r>
        <w:t xml:space="preserve">torture, cruel treatment, enforced disappearance) for which no immunity or civil shield is available.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Conditional civil shield.</w:t>
      </w:r>
      <w:r>
        <w:t xml:space="preserve"> </w:t>
      </w:r>
      <w:r>
        <w:t xml:space="preserve">Federal and state civil liability for covered program conduct (for</w:t>
      </w:r>
      <w:r>
        <w:t xml:space="preserve"> </w:t>
      </w:r>
      <w:r>
        <w:t xml:space="preserve">example, appropriations and reporting violations, breach of contract, violations of records laws)</w:t>
      </w:r>
      <w:r>
        <w:t xml:space="preserve"> </w:t>
      </w:r>
      <w:r>
        <w:t xml:space="preserve">extinguished for witnesses who give full and truthful testimony, with a compensation fund for injured</w:t>
      </w:r>
      <w:r>
        <w:t xml:space="preserve"> </w:t>
      </w:r>
      <w:r>
        <w:t xml:space="preserve">persons in place of extinguished claims.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Whistleblower protection.</w:t>
      </w:r>
      <w:r>
        <w:t xml:space="preserve"> </w:t>
      </w:r>
      <w:r>
        <w:t xml:space="preserve">Extend 50 U.S.C. §3373b(b) protections to all commission witnesses and</w:t>
      </w:r>
      <w:r>
        <w:t xml:space="preserve"> </w:t>
      </w:r>
      <w:r>
        <w:t xml:space="preserve">prohibit reprisal, including clearance actions, with a private right of action (</w:t>
      </w:r>
      <w:hyperlink r:id="rId40">
        <w:r>
          <w:rPr>
            <w:rStyle w:val="Hyperlink"/>
          </w:rPr>
          <w:t xml:space="preserve">Issue C1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Public and closed proceedings.</w:t>
      </w:r>
      <w:r>
        <w:t xml:space="preserve"> </w:t>
      </w:r>
      <w:r>
        <w:t xml:space="preserve">Public hearings for acknowledged matters; closed sessions with</w:t>
      </w:r>
      <w:r>
        <w:t xml:space="preserve"> </w:t>
      </w:r>
      <w:r>
        <w:t xml:space="preserve">classified transcripts; declassification review of the final report on a fixed schedule.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Victims.</w:t>
      </w:r>
      <w:r>
        <w:t xml:space="preserve"> </w:t>
      </w:r>
      <w:r>
        <w:t xml:space="preserve">Participation rights for injured persons and their families; a redress program.</w:t>
      </w:r>
    </w:p>
    <w:p>
      <w:pPr>
        <w:pStyle w:val="Compact"/>
        <w:numPr>
          <w:ilvl w:val="0"/>
          <w:numId w:val="1009"/>
        </w:numPr>
      </w:pPr>
      <w:r>
        <w:rPr>
          <w:bCs/>
          <w:b/>
        </w:rPr>
        <w:t xml:space="preserve">Sunset and records.</w:t>
      </w:r>
      <w:r>
        <w:t xml:space="preserve"> </w:t>
      </w:r>
      <w:r>
        <w:t xml:space="preserve">Fixed term; records transferred to the UAP Records Collection.</w:t>
      </w:r>
    </w:p>
    <w:p>
      <w:r>
        <w:pict>
          <v:rect style="width:0;height:1.5pt" o:hralign="center" o:hrstd="t" o:hr="t"/>
        </w:pict>
      </w:r>
    </w:p>
    <w:bookmarkEnd w:id="41"/>
    <w:bookmarkStart w:id="42" w:name="practice-points-for-counsel-to-witnesses"/>
    <w:p>
      <w:pPr>
        <w:pStyle w:val="Heading2"/>
      </w:pPr>
      <w:r>
        <w:t xml:space="preserve">6. Practice points for counsel to witnesses</w:t>
      </w:r>
    </w:p>
    <w:p>
      <w:pPr>
        <w:pStyle w:val="Compact"/>
        <w:numPr>
          <w:ilvl w:val="0"/>
          <w:numId w:val="1010"/>
        </w:numPr>
      </w:pPr>
      <w:r>
        <w:t xml:space="preserve">Never allow a client to testify about program conduct without first assessing federal, state, and</w:t>
      </w:r>
      <w:r>
        <w:t xml:space="preserve"> </w:t>
      </w:r>
      <w:r>
        <w:t xml:space="preserve">foreign criminal exposure and civil exposure.</w:t>
      </w:r>
    </w:p>
    <w:p>
      <w:pPr>
        <w:pStyle w:val="Compact"/>
        <w:numPr>
          <w:ilvl w:val="0"/>
          <w:numId w:val="1010"/>
        </w:numPr>
      </w:pPr>
      <w:r>
        <w:t xml:space="preserve">Seek a proffer agreement before any interview; negotiate the scope of derivative use.</w:t>
      </w:r>
    </w:p>
    <w:p>
      <w:pPr>
        <w:pStyle w:val="Compact"/>
        <w:numPr>
          <w:ilvl w:val="0"/>
          <w:numId w:val="1010"/>
        </w:numPr>
      </w:pPr>
      <w:r>
        <w:t xml:space="preserve">If the client will receive immunity, document what the client had already disclosed before the</w:t>
      </w:r>
      <w:r>
        <w:t xml:space="preserve"> </w:t>
      </w:r>
      <w:r>
        <w:t xml:space="preserve">immunized testimony (to support the government’s independent-source showing later, or to oppose it).</w:t>
      </w:r>
    </w:p>
    <w:p>
      <w:pPr>
        <w:pStyle w:val="Compact"/>
        <w:numPr>
          <w:ilvl w:val="0"/>
          <w:numId w:val="1010"/>
        </w:numPr>
      </w:pPr>
      <w:r>
        <w:t xml:space="preserve">Use the 50 U.S.C. §3373b channel for disclosures to AARO, which carries its own statutory protection</w:t>
      </w:r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Issue A3</w:t>
        </w:r>
      </w:hyperlink>
      <w:r>
        <w:t xml:space="preserve">, C1). On the site’s premise that AARO is part of the concealment, make the disclosure for its legal</w:t>
      </w:r>
      <w:r>
        <w:t xml:space="preserve"> </w:t>
      </w:r>
      <w:r>
        <w:t xml:space="preserve">effect only, and give the substance in parallel to an inspector general or the committee.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Tool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protects against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leaves open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Effect on later prosecution of others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and derivative-use immunity (18 U.S.C. §§6002-6005)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Federal and state use of the testimony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Prosecution on independent evidence; civil claims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Heavy</w:t>
            </w:r>
            <w:r>
              <w:t xml:space="preserve"> </w:t>
            </w:r>
            <w:r>
              <w:rPr>
                <w:iCs/>
                <w:i/>
              </w:rPr>
              <w:t xml:space="preserve">Kastigar</w:t>
            </w:r>
            <w:r>
              <w:t xml:space="preserve"> </w:t>
            </w:r>
            <w:r>
              <w:t xml:space="preserve">burden; risk of taint (</w:t>
            </w:r>
            <w:r>
              <w:rPr>
                <w:iCs/>
                <w:i/>
              </w:rPr>
              <w:t xml:space="preserve">North</w:t>
            </w:r>
            <w:r>
              <w:t xml:space="preserve">,</w:t>
            </w:r>
            <w:r>
              <w:t xml:space="preserve"> </w:t>
            </w:r>
            <w:r>
              <w:rPr>
                <w:iCs/>
                <w:i/>
              </w:rPr>
              <w:t xml:space="preserve">Poindexter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Transactional immunity (by statute or agreement)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Prosecution for the transaction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prosecution unless the statute reaches it; civil claims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 for the witness’s own conduct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Pardon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Federal prosecution and punishment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prosecution; civil claims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None; testimony can then be compelled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Conditional civil shield (statute)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Federal and state civil liability for covered conduct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Excluded grave conduct; due process and takings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None; needs a compensation fund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Non-prosecution or proffer agreement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 of proffer statements; agreed charges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Other sovereigns; matters outside the agreement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Limited if evidence is canned first</w:t>
            </w:r>
          </w:p>
        </w:tc>
      </w:tr>
    </w:tbl>
    <w:p>
      <w:pPr>
        <w:pStyle w:val="Compact"/>
        <w:numPr>
          <w:ilvl w:val="0"/>
          <w:numId w:val="1011"/>
        </w:numPr>
      </w:pPr>
      <w:r>
        <w:t xml:space="preserve">Keep in mind that federal immunity does not protect against foreign prosecution.</w:t>
      </w:r>
    </w:p>
    <w:p>
      <w:r>
        <w:pict>
          <v:rect style="width:0;height:1.5pt" o:hralign="center" o:hrstd="t" o:hr="t"/>
        </w:pict>
      </w:r>
    </w:p>
    <w:bookmarkEnd w:id="42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Designing a UAP Truth Commission: Compulsion, Immunity, and Accountability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1" Type="http://schemas.openxmlformats.org/officeDocument/2006/relationships/hyperlink" Target="https://nhilaw.com/forms/b3-1.html" TargetMode="External"/><Relationship Id="rId35" Type="http://schemas.openxmlformats.org/officeDocument/2006/relationships/hyperlink" Target="https://nhilaw.com/issues/a1.html" TargetMode="External"/><Relationship Id="rId33" Type="http://schemas.openxmlformats.org/officeDocument/2006/relationships/hyperlink" Target="https://nhilaw.com/issues/a2.html" TargetMode="External"/><Relationship Id="rId30" Type="http://schemas.openxmlformats.org/officeDocument/2006/relationships/hyperlink" Target="https://nhilaw.com/issues/a3.html" TargetMode="External"/><Relationship Id="rId40" Type="http://schemas.openxmlformats.org/officeDocument/2006/relationships/hyperlink" Target="https://nhilaw.com/issues/c1.html" TargetMode="External"/><Relationship Id="rId38" Type="http://schemas.openxmlformats.org/officeDocument/2006/relationships/hyperlink" Target="https://nhilaw.com/issues/f2.html" TargetMode="External"/><Relationship Id="rId23" Type="http://schemas.openxmlformats.org/officeDocument/2006/relationships/hyperlink" Target="i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1" Type="http://schemas.openxmlformats.org/officeDocument/2006/relationships/hyperlink" Target="https://nhilaw.com/forms/b3-1.html" TargetMode="External"/><Relationship Id="rId35" Type="http://schemas.openxmlformats.org/officeDocument/2006/relationships/hyperlink" Target="https://nhilaw.com/issues/a1.html" TargetMode="External"/><Relationship Id="rId33" Type="http://schemas.openxmlformats.org/officeDocument/2006/relationships/hyperlink" Target="https://nhilaw.com/issues/a2.html" TargetMode="External"/><Relationship Id="rId30" Type="http://schemas.openxmlformats.org/officeDocument/2006/relationships/hyperlink" Target="https://nhilaw.com/issues/a3.html" TargetMode="External"/><Relationship Id="rId40" Type="http://schemas.openxmlformats.org/officeDocument/2006/relationships/hyperlink" Target="https://nhilaw.com/issues/c1.html" TargetMode="External"/><Relationship Id="rId38" Type="http://schemas.openxmlformats.org/officeDocument/2006/relationships/hyperlink" Target="https://nhilaw.com/issues/f2.html" TargetMode="External"/><Relationship Id="rId23" Type="http://schemas.openxmlformats.org/officeDocument/2006/relationships/hyperlink" Target="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Designing a UAP Truth Commission: Compulsion, Immunity, and Accountability</dc:title>
  <dc:creator>nhilaw.com</dc:creator>
  <cp:keywords/>
  <dcterms:created xsi:type="dcterms:W3CDTF">2026-10-19T03:12:32Z</dcterms:created>
  <dcterms:modified xsi:type="dcterms:W3CDTF">2026-10-19T03:12:32Z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nhilaw.com/issues/b3.html</vt:lpwstr>
  </property>
</Properties>
</file>