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1" w:name="X06d048d68e58237a5e258f9e520086c2806a38e"/>
    <w:p>
      <w:pPr>
        <w:pStyle w:val="Heading1"/>
      </w:pPr>
      <w:r>
        <w:t xml:space="preserve">Form B4-1. Prepublication Review Submission and Request for Itemized Reasons (DOPSR)</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https://nhilaw.com/forms/b4-1.html</w:t>
      </w:r>
    </w:p>
    <w:p>
      <w:pPr>
        <w:pStyle w:val="BodyText"/>
        <w:spacing w:after="160" w:line="259" w:lineRule="auto"/>
      </w:pPr>
      <w:r>
        <w:rPr>
          <w:bCs/>
          <w:b/>
        </w:rPr>
        <w:t xml:space="preserve">When to use.</w:t>
      </w:r>
      <w:r>
        <w:t xml:space="preserve"> </w:t>
      </w:r>
      <w:r>
        <w:t xml:space="preserve">A current or former DoD employee or contractor submitting a book, article, or script for prepublication review.</w:t>
      </w:r>
      <w:r>
        <w:t xml:space="preserve"> </w:t>
      </w:r>
      <w:r>
        <w:rPr>
          <w:bCs/>
          <w:b/>
        </w:rPr>
        <w:t xml:space="preserve">Not for:</w:t>
      </w:r>
      <w:r>
        <w:t xml:space="preserve"> </w:t>
      </w:r>
      <w:r>
        <w:t xml:space="preserve">Other agencies, whose review offices have their own rules; adapt the letter.</w:t>
      </w:r>
    </w:p>
    <w:p>
      <w:pPr>
        <w:pStyle w:val="BodyText"/>
        <w:spacing w:after="160" w:line="259" w:lineRule="auto"/>
      </w:pPr>
      <w:r>
        <w:rPr>
          <w:bCs/>
          <w:b/>
        </w:rPr>
        <w:t xml:space="preserve">Deadlines.</w:t>
      </w:r>
      <w:r>
        <w:t xml:space="preserve"> </w:t>
      </w:r>
      <w:r>
        <w:t xml:space="preserve">Submit before any publication commitment; DOPSR publishes its target periods. The follow-up letter in the drafting notes is for overdue reviews.</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[Author name, address, email]</w:t>
      </w:r>
    </w:p>
    <w:p>
      <w:pPr>
        <w:pStyle w:val="BodyText"/>
      </w:pPr>
      <w:r>
        <w:t xml:space="preserve">[Date]</w:t>
      </w:r>
    </w:p>
    <w:p>
      <w:pPr>
        <w:pStyle w:val="BodyText"/>
      </w:pPr>
      <w:r>
        <w:t xml:space="preserve">Defense Office of Prepublication and Security Review</w:t>
      </w:r>
      <w:r>
        <w:br/>
      </w:r>
      <w:r>
        <w:t xml:space="preserve">[Current address / submission portal]</w:t>
      </w:r>
    </w:p>
    <w:p>
      <w:pPr>
        <w:pStyle w:val="BodyText"/>
      </w:pPr>
      <w:r>
        <w:rPr>
          <w:bCs/>
          <w:b/>
        </w:rPr>
        <w:t xml:space="preserve">Re: Request for security review: [title of work] ([book manuscript / article / screenplay / podcast</w:t>
      </w:r>
      <w:r>
        <w:rPr>
          <w:bCs/>
          <w:b/>
        </w:rPr>
        <w:t xml:space="preserve"> </w:t>
      </w:r>
      <w:r>
        <w:rPr>
          <w:bCs/>
          <w:b/>
        </w:rPr>
        <w:t xml:space="preserve">script / testimony / social-media post series])</w:t>
      </w:r>
    </w:p>
    <w:p>
      <w:pPr>
        <w:pStyle w:val="BodyText"/>
      </w:pPr>
      <w:r>
        <w:t xml:space="preserve">Dear Review Officer:</w:t>
      </w:r>
    </w:p>
    <w:p>
      <w:pPr>
        <w:pStyle w:val="BodyText"/>
      </w:pPr>
      <w:r>
        <w:t xml:space="preserve">I submit the enclosed [work], [number] pages, for prepublication security review under [my nondisclosure</w:t>
      </w:r>
      <w:r>
        <w:t xml:space="preserve"> </w:t>
      </w:r>
      <w:r>
        <w:t xml:space="preserve">agreement(s) dated ___ and] DoD Instruction 5230.09 and DoD Instruction 5230.29.</w:t>
      </w:r>
    </w:p>
    <w:p>
      <w:pPr>
        <w:pStyle w:val="BodyText"/>
      </w:pPr>
      <w:r>
        <w:rPr>
          <w:bCs/>
          <w:b/>
        </w:rPr>
        <w:t xml:space="preserve">1. Author.</w:t>
      </w:r>
      <w:r>
        <w:t xml:space="preserve"> </w:t>
      </w:r>
      <w:r>
        <w:t xml:space="preserve">I served as [position(s)] at [organization(s)] from [dates]. I held [level] clearances</w:t>
      </w:r>
      <w:r>
        <w:t xml:space="preserve"> </w:t>
      </w:r>
      <w:r>
        <w:t xml:space="preserve">[and was indoctrinated into special access programs]. The work concerns unidentified anomalous phenomena</w:t>
      </w:r>
      <w:r>
        <w:t xml:space="preserve"> </w:t>
      </w:r>
      <w:r>
        <w:t xml:space="preserve">(</w:t>
      </w:r>
      <w:r>
        <w:t xml:space="preserve">“</w:t>
      </w:r>
      <w:r>
        <w:t xml:space="preserve">UAP</w:t>
      </w:r>
      <w:r>
        <w:t xml:space="preserve">”</w:t>
      </w:r>
      <w:r>
        <w:t xml:space="preserve">) and related government activities.</w:t>
      </w:r>
    </w:p>
    <w:p>
      <w:pPr>
        <w:pStyle w:val="BodyText"/>
      </w:pPr>
      <w:r>
        <w:rPr>
          <w:bCs/>
          <w:b/>
        </w:rPr>
        <w:t xml:space="preserve">2. Intended publication.</w:t>
      </w:r>
      <w:r>
        <w:t xml:space="preserve"> </w:t>
      </w:r>
      <w:r>
        <w:t xml:space="preserve">[Publisher / outlet], with an expected publication date of [date]. [If a</w:t>
      </w:r>
      <w:r>
        <w:t xml:space="preserve"> </w:t>
      </w:r>
      <w:r>
        <w:t xml:space="preserve">deadline exists, state it and request expedited review.]</w:t>
      </w:r>
    </w:p>
    <w:p>
      <w:pPr>
        <w:pStyle w:val="BodyText"/>
      </w:pPr>
      <w:r>
        <w:rPr>
          <w:bCs/>
          <w:b/>
        </w:rPr>
        <w:t xml:space="preserve">3. Sources.</w:t>
      </w:r>
      <w:r>
        <w:t xml:space="preserve"> </w:t>
      </w:r>
      <w:r>
        <w:t xml:space="preserve">The work relies on [my personal knowledge; public sources listed in the enclosed</w:t>
      </w:r>
      <w:r>
        <w:t xml:space="preserve"> </w:t>
      </w:r>
      <w:r>
        <w:t xml:space="preserve">bibliography; official records released by the Department of War, the National Archives, or Congress].</w:t>
      </w:r>
      <w:r>
        <w:t xml:space="preserve"> </w:t>
      </w:r>
      <w:r>
        <w:t xml:space="preserve">Where the work states facts that have been officially acknowledged, I have identified the official source</w:t>
      </w:r>
      <w:r>
        <w:t xml:space="preserve"> </w:t>
      </w:r>
      <w:r>
        <w:t xml:space="preserve">in the enclosed annotation table so that review can proceed efficiently.</w:t>
      </w:r>
    </w:p>
    <w:p>
      <w:pPr>
        <w:pStyle w:val="BodyText"/>
      </w:pPr>
      <w:r>
        <w:rPr>
          <w:bCs/>
          <w:b/>
        </w:rPr>
        <w:t xml:space="preserve">4. Request for itemized reasons.</w:t>
      </w:r>
      <w:r>
        <w:t xml:space="preserve"> </w:t>
      </w:r>
      <w:r>
        <w:t xml:space="preserve">If any portion is found to contain classified information, I request</w:t>
      </w:r>
      <w:r>
        <w:t xml:space="preserve"> </w:t>
      </w:r>
      <w:r>
        <w:t xml:space="preserve">that the decision (a) identify each passage required to be deleted or modified; (b) state for each the</w:t>
      </w:r>
      <w:r>
        <w:t xml:space="preserve"> </w:t>
      </w:r>
      <w:r>
        <w:t xml:space="preserve">classification level and the basis under Executive Order 13526 or other authority; and (c) indicate</w:t>
      </w:r>
      <w:r>
        <w:t xml:space="preserve"> </w:t>
      </w:r>
      <w:r>
        <w:t xml:space="preserve">whether a proposed alternative wording would be acceptable.</w:t>
      </w:r>
      <w:r>
        <w:t xml:space="preserve"> </w:t>
      </w:r>
      <w:r>
        <w:rPr>
          <w:iCs/>
          <w:i/>
        </w:rPr>
        <w:t xml:space="preserve">See McGehee v. Casey</w:t>
      </w:r>
      <w:r>
        <w:t xml:space="preserve">, 718 F.2d 1137 (D.C. Cir.</w:t>
      </w:r>
      <w:r>
        <w:t xml:space="preserve"> </w:t>
      </w:r>
      <w:r>
        <w:t xml:space="preserve">1983). [For a former employee or contractor:] Because I am no longer employed by the Department, I understand</w:t>
      </w:r>
      <w:r>
        <w:t xml:space="preserve"> </w:t>
      </w:r>
      <w:r>
        <w:t xml:space="preserve">the review of this work is</w:t>
      </w:r>
      <w:r>
        <w:t xml:space="preserve"> </w:t>
      </w:r>
      <w:r>
        <w:t xml:space="preserve">“</w:t>
      </w:r>
      <w:r>
        <w:t xml:space="preserve">to ensure that information [I] intend to release to the public does not compromise</w:t>
      </w:r>
      <w:r>
        <w:t xml:space="preserve"> </w:t>
      </w:r>
      <w:r>
        <w:t xml:space="preserve">national security as required by [my] nondisclosure agreements.</w:t>
      </w:r>
      <w:r>
        <w:t xml:space="preserve">”</w:t>
      </w:r>
      <w:r>
        <w:t xml:space="preserve"> </w:t>
      </w:r>
      <w:r>
        <w:t xml:space="preserve">DoDI 5230.09 ¶1.2.g. Please identify</w:t>
      </w:r>
      <w:r>
        <w:t xml:space="preserve"> </w:t>
      </w:r>
      <w:r>
        <w:t xml:space="preserve">separately any suggested change that is not based on classified or controlled unclassified information, so</w:t>
      </w:r>
      <w:r>
        <w:t xml:space="preserve"> </w:t>
      </w:r>
      <w:r>
        <w:t xml:space="preserve">that I can consider it as a suggestion and not as a condition of clearance.</w:t>
      </w:r>
    </w:p>
    <w:p>
      <w:pPr>
        <w:pStyle w:val="BodyText"/>
      </w:pPr>
      <w:r>
        <w:rPr>
          <w:bCs/>
          <w:b/>
        </w:rPr>
        <w:t xml:space="preserve">5. Official acknowledgment.</w:t>
      </w:r>
      <w:r>
        <w:t xml:space="preserve"> </w:t>
      </w:r>
      <w:r>
        <w:t xml:space="preserve">Information that has been officially disclosed is not properly classified</w:t>
      </w:r>
      <w:r>
        <w:t xml:space="preserve"> </w:t>
      </w:r>
      <w:r>
        <w:t xml:space="preserve">merely because it appears in my work. The annotation table identifies statutes (e.g., 50 U.S.C. §§3373,</w:t>
      </w:r>
      <w:r>
        <w:t xml:space="preserve"> </w:t>
      </w:r>
      <w:r>
        <w:t xml:space="preserve">3373b; Pub. L. No. 118-31, §§1687, 1841-1843; Pub. L. No. 119-60, §§1671-1673), AARO reports, released</w:t>
      </w:r>
      <w:r>
        <w:t xml:space="preserve"> </w:t>
      </w:r>
      <w:r>
        <w:t xml:space="preserve">records, and sworn testimony of officials that disclose the information in question.</w:t>
      </w:r>
    </w:p>
    <w:p>
      <w:pPr>
        <w:pStyle w:val="BodyText"/>
      </w:pPr>
      <w:r>
        <w:rPr>
          <w:bCs/>
          <w:b/>
        </w:rPr>
        <w:t xml:space="preserve">6. Other review offices.</w:t>
      </w:r>
      <w:r>
        <w:t xml:space="preserve"> </w:t>
      </w:r>
      <w:r>
        <w:t xml:space="preserve">[If the work may contain information under the jurisdiction of another agency</w:t>
      </w:r>
      <w:r>
        <w:t xml:space="preserve"> </w:t>
      </w:r>
      <w:r>
        <w:t xml:space="preserve">(e.g., an intelligence agency or DOE), please coordinate with that agency, and tell me if I must submit</w:t>
      </w:r>
      <w:r>
        <w:t xml:space="preserve"> </w:t>
      </w:r>
      <w:r>
        <w:t xml:space="preserve">separately.]</w:t>
      </w:r>
    </w:p>
    <w:p>
      <w:pPr>
        <w:pStyle w:val="BodyText"/>
      </w:pPr>
      <w:r>
        <w:rPr>
          <w:bCs/>
          <w:b/>
        </w:rPr>
        <w:t xml:space="preserve">7. Timeline.</w:t>
      </w:r>
      <w:r>
        <w:t xml:space="preserve"> </w:t>
      </w:r>
      <w:r>
        <w:t xml:space="preserve">Please confirm receipt and the expected completion date. I understand DOPSR aims to</w:t>
      </w:r>
      <w:r>
        <w:t xml:space="preserve"> </w:t>
      </w:r>
      <w:r>
        <w:t xml:space="preserve">complete review within [current published period]; please notify me if the review will take longer.</w:t>
      </w:r>
    </w:p>
    <w:p>
      <w:pPr>
        <w:pStyle w:val="BodyText"/>
      </w:pPr>
      <w:r>
        <w:t xml:space="preserve">I will not publish the work until I receive your determination. Please direct questions to me at [contact].</w:t>
      </w:r>
    </w:p>
    <w:p>
      <w:pPr>
        <w:pStyle w:val="BodyText"/>
      </w:pPr>
      <w:r>
        <w:t xml:space="preserve">Sincerely,</w:t>
      </w:r>
      <w:r>
        <w:br/>
      </w:r>
      <w:r>
        <w:t xml:space="preserve">[Name]</w:t>
      </w:r>
    </w:p>
    <w:p>
      <w:pPr>
        <w:pStyle w:val="BodyText"/>
      </w:pPr>
      <w:r>
        <w:t xml:space="preserve">Enclosures: Manuscript; annotation table of official sources; copies of relevant nondisclosure agreements</w:t>
      </w:r>
      <w:r>
        <w:br/>
      </w:r>
      <w:r>
        <w:t xml:space="preserve">(if available)</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0" w:name="drafting-notes"/>
    <w:p>
      <w:pPr>
        <w:pStyle w:val="Heading2"/>
      </w:pPr>
      <w:r>
        <w:t xml:space="preserve">Drafting notes</w:t>
      </w:r>
    </w:p>
    <w:p>
      <w:pPr>
        <w:numPr>
          <w:ilvl w:val="0"/>
          <w:numId w:val="1001"/>
        </w:numPr>
      </w:pPr>
      <w:r>
        <w:t xml:space="preserve">Submit early drafts and later changes; any material added after review must be resubmitted.</w:t>
      </w:r>
    </w:p>
    <w:p>
      <w:pPr>
        <w:numPr>
          <w:ilvl w:val="0"/>
          <w:numId w:val="1001"/>
        </w:numPr>
      </w:pPr>
      <w:r>
        <w:t xml:space="preserve">Social-media posts and interviews about the author’s former duties are within the scope of most review</w:t>
      </w:r>
      <w:r>
        <w:t xml:space="preserve"> </w:t>
      </w:r>
      <w:r>
        <w:t xml:space="preserve">obligations. When in doubt, submit.</w:t>
      </w:r>
    </w:p>
    <w:p>
      <w:pPr>
        <w:numPr>
          <w:ilvl w:val="0"/>
          <w:numId w:val="1001"/>
        </w:numPr>
      </w:pPr>
      <w:r>
        <w:t xml:space="preserve">If the response is late or a redaction seems unjustified, appeal administratively, then consider an</w:t>
      </w:r>
      <w:r>
        <w:t xml:space="preserve"> </w:t>
      </w:r>
      <w:r>
        <w:t xml:space="preserve">as-applied challenge to specific redactions.</w:t>
      </w:r>
      <w:r>
        <w:t xml:space="preserve"> </w:t>
      </w:r>
      <w:r>
        <w:rPr>
          <w:iCs/>
          <w:i/>
        </w:rPr>
        <w:t xml:space="preserve">Edgar v. Haines</w:t>
      </w:r>
      <w:r>
        <w:t xml:space="preserve">, 2 F.4th 298 (4th Cir. 2021), forecloses</w:t>
      </w:r>
      <w:r>
        <w:t xml:space="preserve"> </w:t>
      </w:r>
      <w:r>
        <w:t xml:space="preserve">facial challenges by signatories in the Fourth Circuit but not as-applied challenges to particular</w:t>
      </w:r>
      <w:r>
        <w:t xml:space="preserve"> </w:t>
      </w:r>
      <w:r>
        <w:t xml:space="preserve">decisions.</w:t>
      </w:r>
    </w:p>
    <w:p>
      <w:pPr>
        <w:numPr>
          <w:ilvl w:val="0"/>
          <w:numId w:val="1001"/>
        </w:numPr>
      </w:pPr>
      <w:r>
        <w:rPr>
          <w:bCs/>
          <w:b/>
        </w:rPr>
        <w:t xml:space="preserve">Follow-up letter for an overdue review.</w:t>
      </w:r>
      <w:r>
        <w:t xml:space="preserve"> </w:t>
      </w:r>
      <w:r>
        <w:t xml:space="preserve">If the review runs past the published period, send:</w:t>
      </w:r>
    </w:p>
    <w:p>
      <w:pPr>
        <w:pStyle w:val="BlockText"/>
        <w:numPr>
          <w:ilvl w:val="0"/>
          <w:numId w:val="1000"/>
        </w:numPr>
      </w:pPr>
      <w:r>
        <w:t xml:space="preserve">I submitted [title] for prepublication review on [date] (case number [__]). The Department’s stated period</w:t>
      </w:r>
      <w:r>
        <w:t xml:space="preserve"> </w:t>
      </w:r>
      <w:r>
        <w:t xml:space="preserve">for review of a submission of this kind is [period], which ended on [date]. I have received no determination</w:t>
      </w:r>
      <w:r>
        <w:t xml:space="preserve"> </w:t>
      </w:r>
      <w:r>
        <w:t xml:space="preserve">[and no request for more time]. Please tell me by [date, 14 days out] when the review will be completed, and</w:t>
      </w:r>
      <w:r>
        <w:t xml:space="preserve"> </w:t>
      </w:r>
      <w:r>
        <w:t xml:space="preserve">identify any portion of the work that has been cleared so that I may publish it while review of the remainder</w:t>
      </w:r>
      <w:r>
        <w:t xml:space="preserve"> </w:t>
      </w:r>
      <w:r>
        <w:t xml:space="preserve">continues. I have not published the work and will not publish it while this request is pending. If I do not</w:t>
      </w:r>
      <w:r>
        <w:t xml:space="preserve"> </w:t>
      </w:r>
      <w:r>
        <w:t xml:space="preserve">receive a determination or a completion date by [date], I will treat the delay as a decision subject to</w:t>
      </w:r>
      <w:r>
        <w:t xml:space="preserve"> </w:t>
      </w:r>
      <w:r>
        <w:t xml:space="preserve">administrative appeal and will consider other remedies, including judicial review of the delay.</w:t>
      </w:r>
    </w:p>
    <w:p>
      <w:pPr>
        <w:numPr>
          <w:ilvl w:val="0"/>
          <w:numId w:val="1000"/>
        </w:numPr>
      </w:pPr>
      <w:r>
        <w:t xml:space="preserve">Keep the follow-up and every reply. A record of unexplained delay is what an as-applied challenge or a court</w:t>
      </w:r>
      <w:r>
        <w:t xml:space="preserve"> </w:t>
      </w:r>
      <w:r>
        <w:t xml:space="preserve">ordering prompt review would rest on.</w:t>
      </w:r>
    </w:p>
    <w:p>
      <w:pPr>
        <w:numPr>
          <w:ilvl w:val="0"/>
          <w:numId w:val="1001"/>
        </w:numPr>
      </w:pPr>
      <w:r>
        <w:t xml:space="preserve">Keep a complete file; it is evidence of good faith for any later dispute and supports a</w:t>
      </w:r>
      <w:r>
        <w:t xml:space="preserve"> </w:t>
      </w:r>
      <w:r>
        <w:rPr>
          <w:iCs/>
          <w:i/>
        </w:rPr>
        <w:t xml:space="preserve">Snepp</w:t>
      </w:r>
      <w:r>
        <w:t xml:space="preserve"> </w:t>
      </w:r>
      <w:r>
        <w:t xml:space="preserve">defense.</w:t>
      </w:r>
    </w:p>
    <w:bookmarkEnd w:id="20"/>
    <w:bookmarkEnd w:id="21"/>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B4-1. Prepublication Review Submission and Request for Itemized Reasons (DOPSR)</dc:title>
  <dc:creator>nhilaw.com</dc:creator>
  <cp:keywords/>
  <dcterms:created xsi:type="dcterms:W3CDTF">2026-10-19T03:12:44Z</dcterms:created>
  <dcterms:modified xsi:type="dcterms:W3CDTF">2026-10-19T03:12:44Z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