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1" w:name="X3031305aef3380288e3459c0139cb59b3bd94d0"/>
    <w:p>
      <w:pPr>
        <w:pStyle w:val="Heading1"/>
      </w:pPr>
      <w:r>
        <w:t xml:space="preserve">Form B4-2. Newsroom and Website Protocol for Receiving and Publishing UAP Material That May Be Classified</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https://nhilaw.com/forms/b4-2.html</w:t>
      </w:r>
    </w:p>
    <w:p>
      <w:pPr>
        <w:pStyle w:val="BodyText"/>
        <w:spacing w:after="160" w:line="259" w:lineRule="auto"/>
      </w:pPr>
      <w:r>
        <w:rPr>
          <w:bCs/>
          <w:b/>
        </w:rPr>
        <w:t xml:space="preserve">When to use.</w:t>
      </w:r>
      <w:r>
        <w:t xml:space="preserve"> </w:t>
      </w:r>
      <w:r>
        <w:t xml:space="preserve">Newsrooms, authors, producers, podcasters, and websites that may receive classified or sensitive UAP material.</w:t>
      </w:r>
      <w:r>
        <w:t xml:space="preserve"> </w:t>
      </w:r>
      <w:r>
        <w:rPr>
          <w:bCs/>
          <w:b/>
        </w:rPr>
        <w:t xml:space="preserve">Not for:</w:t>
      </w:r>
      <w:r>
        <w:t xml:space="preserve"> </w:t>
      </w:r>
      <w:r>
        <w:t xml:space="preserve">Material the organization has solicited, which raises different risks.</w:t>
      </w:r>
    </w:p>
    <w:p>
      <w:pPr>
        <w:pStyle w:val="BodyText"/>
        <w:spacing w:after="160" w:line="259" w:lineRule="auto"/>
      </w:pPr>
      <w:r>
        <w:rPr>
          <w:bCs/>
          <w:b/>
        </w:rPr>
        <w:t xml:space="preserve">Deadlines.</w:t>
      </w:r>
      <w:r>
        <w:t xml:space="preserve"> </w:t>
      </w:r>
      <w:r>
        <w:t xml:space="preserve">Apply the moment material arrives; counsel within 24 hours of any subpoena or warrant.</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1. Purpose.</w:t>
      </w:r>
      <w:r>
        <w:t xml:space="preserve"> </w:t>
      </w:r>
      <w:r>
        <w:t xml:space="preserve">To report on UAP while limiting legal risk to the organization, its staff, and sources</w:t>
      </w:r>
      <w:r>
        <w:t xml:space="preserve"> </w:t>
      </w:r>
      <w:r>
        <w:t xml:space="preserve">under 18 U.S.C. §§793 and 798, the Atomic Energy Act, and defamation law, and to protect sources.</w:t>
      </w:r>
    </w:p>
    <w:p>
      <w:pPr>
        <w:pStyle w:val="BodyText"/>
      </w:pPr>
      <w:r>
        <w:rPr>
          <w:bCs/>
          <w:b/>
        </w:rPr>
        <w:t xml:space="preserve">2. Do not solicit.</w:t>
      </w:r>
      <w:r>
        <w:t xml:space="preserve"> </w:t>
      </w:r>
      <w:r>
        <w:t xml:space="preserve">Staff shall not ask any person to provide documents or information that the person</w:t>
      </w:r>
      <w:r>
        <w:t xml:space="preserve"> </w:t>
      </w:r>
      <w:r>
        <w:t xml:space="preserve">is not authorized to disclose. Staff may ask sources what they are free to say and may tell sources about</w:t>
      </w:r>
      <w:r>
        <w:t xml:space="preserve"> </w:t>
      </w:r>
      <w:r>
        <w:t xml:space="preserve">protected channels (50 U.S.C. §3373b; inspector general and congressional whistleblower channels) and</w:t>
      </w:r>
      <w:r>
        <w:t xml:space="preserve"> </w:t>
      </w:r>
      <w:r>
        <w:t xml:space="preserve">about the value of counsel.</w:t>
      </w:r>
    </w:p>
    <w:p>
      <w:pPr>
        <w:pStyle w:val="BodyText"/>
      </w:pPr>
      <w:r>
        <w:rPr>
          <w:bCs/>
          <w:b/>
        </w:rPr>
        <w:t xml:space="preserve">3. Receipt of marked or apparently classified material.</w:t>
      </w:r>
      <w:r>
        <w:br/>
      </w:r>
      <w:r>
        <w:t xml:space="preserve">(a) Do not forward, copy, or upload the material to shared systems.</w:t>
      </w:r>
      <w:r>
        <w:br/>
      </w:r>
      <w:r>
        <w:t xml:space="preserve">(b) Notify [the editor-in-chief and counsel] the same day.</w:t>
      </w:r>
      <w:r>
        <w:br/>
      </w:r>
      <w:r>
        <w:t xml:space="preserve">(c) Record how, when, and from whom (if known) the material arrived. Do not pay for it.</w:t>
      </w:r>
      <w:r>
        <w:br/>
      </w:r>
      <w:r>
        <w:t xml:space="preserve">(d) Store any physical copy in a locked location with access limited to staff assigned to the story.</w:t>
      </w:r>
      <w:r>
        <w:br/>
      </w:r>
      <w:r>
        <w:t xml:space="preserve">(e) Counsel will advise whether to retain, return, or destroy the material and whether any reporting</w:t>
      </w:r>
      <w:r>
        <w:t xml:space="preserve"> </w:t>
      </w:r>
      <w:r>
        <w:t xml:space="preserve">obligation applies.</w:t>
      </w:r>
    </w:p>
    <w:p>
      <w:pPr>
        <w:pStyle w:val="BodyText"/>
      </w:pPr>
      <w:r>
        <w:rPr>
          <w:bCs/>
          <w:b/>
        </w:rPr>
        <w:t xml:space="preserve">4. Assessment before publication.</w:t>
      </w:r>
      <w:r>
        <w:t xml:space="preserve"> </w:t>
      </w:r>
      <w:r>
        <w:t xml:space="preserve">Before publishing material or information that may be classified,</w:t>
      </w:r>
      <w:r>
        <w:t xml:space="preserve"> </w:t>
      </w:r>
      <w:r>
        <w:t xml:space="preserve">the editor and counsel shall consider:</w:t>
      </w:r>
      <w:r>
        <w:br/>
      </w:r>
      <w:r>
        <w:t xml:space="preserve">(a) whether the information is already officially acknowledged (statutes, AARO reports, official</w:t>
      </w:r>
      <w:r>
        <w:t xml:space="preserve"> </w:t>
      </w:r>
      <w:r>
        <w:t xml:space="preserve">releases, sworn testimony of officials) and can be sourced to those acknowledgments;</w:t>
      </w:r>
      <w:r>
        <w:br/>
      </w:r>
      <w:r>
        <w:t xml:space="preserve">(b) whether it includes communications intelligence (18 U.S.C. §798), Restricted Data (42 U.S.C.</w:t>
      </w:r>
      <w:r>
        <w:t xml:space="preserve"> </w:t>
      </w:r>
      <w:r>
        <w:t xml:space="preserve">§2014(y)), or identities of covert personnel (50 U.S.C. §3121), which carry heightened risk;</w:t>
      </w:r>
      <w:r>
        <w:br/>
      </w:r>
      <w:r>
        <w:t xml:space="preserve">(c) whether details such as names of junior personnel, locations of facilities, platform and sensor</w:t>
      </w:r>
      <w:r>
        <w:t xml:space="preserve"> </w:t>
      </w:r>
      <w:r>
        <w:t xml:space="preserve">data, or program code words can be omitted without loss to the story;</w:t>
      </w:r>
      <w:r>
        <w:br/>
      </w:r>
      <w:r>
        <w:t xml:space="preserve">(d) whether the government’s closely held confirmation of a public report is itself the sensitive</w:t>
      </w:r>
      <w:r>
        <w:t xml:space="preserve"> </w:t>
      </w:r>
      <w:r>
        <w:t xml:space="preserve">element (</w:t>
      </w:r>
      <w:r>
        <w:rPr>
          <w:iCs/>
          <w:i/>
        </w:rPr>
        <w:t xml:space="preserve">United States v. Rosen</w:t>
      </w:r>
      <w:r>
        <w:t xml:space="preserve">, 445 F. Supp. 2d 602 (E.D. Va. 2006)); and</w:t>
      </w:r>
      <w:r>
        <w:br/>
      </w:r>
      <w:r>
        <w:t xml:space="preserve">(e) whether to seek comment from the agency, and what to tell it.</w:t>
      </w:r>
    </w:p>
    <w:p>
      <w:pPr>
        <w:pStyle w:val="BodyText"/>
      </w:pPr>
      <w:r>
        <w:rPr>
          <w:bCs/>
          <w:b/>
        </w:rPr>
        <w:t xml:space="preserve">5. Source protection.</w:t>
      </w:r>
      <w:r>
        <w:t xml:space="preserve"> </w:t>
      </w:r>
      <w:r>
        <w:t xml:space="preserve">Use secure communication tools; minimize retention of identifying information;</w:t>
      </w:r>
      <w:r>
        <w:t xml:space="preserve"> </w:t>
      </w:r>
      <w:r>
        <w:t xml:space="preserve">do not reveal source identities to anyone outside the assigned team; consider state shield laws and the</w:t>
      </w:r>
      <w:r>
        <w:t xml:space="preserve"> </w:t>
      </w:r>
      <w:r>
        <w:t xml:space="preserve">absence of a federal shield statute. Counsel shall be consulted promptly about any subpoena, warrant, or request</w:t>
      </w:r>
      <w:r>
        <w:t xml:space="preserve"> </w:t>
      </w:r>
      <w:r>
        <w:t xml:space="preserve">for records, and staff shall not hand over notes or devices without counsel.</w:t>
      </w:r>
      <w:r>
        <w:br/>
      </w:r>
      <w:r>
        <w:t xml:space="preserve">(a)</w:t>
      </w:r>
      <w:r>
        <w:t xml:space="preserve"> </w:t>
      </w:r>
      <w:r>
        <w:rPr>
          <w:iCs/>
          <w:i/>
        </w:rPr>
        <w:t xml:space="preserve">Privacy Protection Act.</w:t>
      </w:r>
      <w:r>
        <w:t xml:space="preserve"> </w:t>
      </w:r>
      <w:r>
        <w:t xml:space="preserve">Officers investigating a crime generally may not search for or seize a publisher’s</w:t>
      </w:r>
      <w:r>
        <w:t xml:space="preserve"> </w:t>
      </w:r>
      <w:r>
        <w:t xml:space="preserve">work product or documentary materials (42 U.S.C. §2000aa). The protection does not apply where the publisher is</w:t>
      </w:r>
      <w:r>
        <w:t xml:space="preserve"> </w:t>
      </w:r>
      <w:r>
        <w:t xml:space="preserve">suspected of receiving, possessing, or communicating national defense or classified information in violation of</w:t>
      </w:r>
      <w:r>
        <w:t xml:space="preserve"> </w:t>
      </w:r>
      <w:r>
        <w:t xml:space="preserve">18 U.S.C. §§793, 794, 797, or 798 (§2000aa(a)(1)), so it gives little protection once the organization holds</w:t>
      </w:r>
      <w:r>
        <w:t xml:space="preserve"> </w:t>
      </w:r>
      <w:r>
        <w:t xml:space="preserve">classified material.</w:t>
      </w:r>
      <w:r>
        <w:br/>
      </w:r>
      <w:r>
        <w:t xml:space="preserve">(b)</w:t>
      </w:r>
      <w:r>
        <w:t xml:space="preserve"> </w:t>
      </w:r>
      <w:r>
        <w:rPr>
          <w:iCs/>
          <w:i/>
        </w:rPr>
        <w:t xml:space="preserve">DOJ news-media policy.</w:t>
      </w:r>
      <w:r>
        <w:t xml:space="preserve"> </w:t>
      </w:r>
      <w:r>
        <w:t xml:space="preserve">Federal subpoenas and warrants for news-media records are governed by 28 C.F.R.</w:t>
      </w:r>
      <w:r>
        <w:t xml:space="preserve"> </w:t>
      </w:r>
      <w:r>
        <w:t xml:space="preserve">§50.10, as revised May 2, 2025 (90 Fed. Reg. 18786), which withdrew the 2022 protections. Assume reporters’ phone,</w:t>
      </w:r>
      <w:r>
        <w:t xml:space="preserve"> </w:t>
      </w:r>
      <w:r>
        <w:t xml:space="preserve">email, and cloud records can be sought in a leak investigation, and choose tools and retention practices</w:t>
      </w:r>
      <w:r>
        <w:t xml:space="preserve"> </w:t>
      </w:r>
      <w:r>
        <w:t xml:space="preserve">accordingly.</w:t>
      </w:r>
      <w:r>
        <w:br/>
      </w:r>
      <w:r>
        <w:t xml:space="preserve">(c)</w:t>
      </w:r>
      <w:r>
        <w:t xml:space="preserve"> </w:t>
      </w:r>
      <w:r>
        <w:rPr>
          <w:iCs/>
          <w:i/>
        </w:rPr>
        <w:t xml:space="preserve">Reporter’s privilege.</w:t>
      </w:r>
      <w:r>
        <w:t xml:space="preserve"> </w:t>
      </w:r>
      <w:r>
        <w:t xml:space="preserve">There is no First Amendment or common-law privilege for a reporter to refuse to name a</w:t>
      </w:r>
      <w:r>
        <w:t xml:space="preserve"> </w:t>
      </w:r>
      <w:r>
        <w:t xml:space="preserve">source at a federal leak trial in the Fourth Circuit.</w:t>
      </w:r>
      <w:r>
        <w:t xml:space="preserve"> </w:t>
      </w:r>
      <w:r>
        <w:rPr>
          <w:iCs/>
          <w:i/>
        </w:rPr>
        <w:t xml:space="preserve">United States v. Sterling</w:t>
      </w:r>
      <w:r>
        <w:t xml:space="preserve">, 724 F.3d 482 (4th Cir. 2013).</w:t>
      </w:r>
      <w:r>
        <w:br/>
      </w:r>
      <w:r>
        <w:t xml:space="preserve">(d)</w:t>
      </w:r>
      <w:r>
        <w:t xml:space="preserve"> </w:t>
      </w:r>
      <w:r>
        <w:rPr>
          <w:iCs/>
          <w:i/>
        </w:rPr>
        <w:t xml:space="preserve">State shield laws.</w:t>
      </w:r>
      <w:r>
        <w:t xml:space="preserve"> </w:t>
      </w:r>
      <w:r>
        <w:t xml:space="preserve">[For California staff:] California’s shield law (Cal. Const. art. I, §2(b); Evid. Code</w:t>
      </w:r>
      <w:r>
        <w:t xml:space="preserve"> </w:t>
      </w:r>
      <w:r>
        <w:t xml:space="preserve">§1070) protects against contempt for refusing to disclose a source or unpublished information in California</w:t>
      </w:r>
      <w:r>
        <w:t xml:space="preserve"> </w:t>
      </w:r>
      <w:r>
        <w:t xml:space="preserve">proceedings. It does not protect against federal process. [Insert the shield law of each state where staff</w:t>
      </w:r>
      <w:r>
        <w:t xml:space="preserve"> </w:t>
      </w:r>
      <w:r>
        <w:t xml:space="preserve">work.]</w:t>
      </w:r>
    </w:p>
    <w:p>
      <w:pPr>
        <w:pStyle w:val="BodyText"/>
      </w:pPr>
      <w:r>
        <w:rPr>
          <w:bCs/>
          <w:b/>
        </w:rPr>
        <w:t xml:space="preserve">6. Allegations about named people and companies.</w:t>
      </w:r>
      <w:r>
        <w:t xml:space="preserve"> </w:t>
      </w:r>
      <w:r>
        <w:t xml:space="preserve">Allegations that named officials or contractors</w:t>
      </w:r>
      <w:r>
        <w:t xml:space="preserve"> </w:t>
      </w:r>
      <w:r>
        <w:t xml:space="preserve">concealed programs, misled Congress, retaliated against witnesses, or harmed anyone require: (a) at least</w:t>
      </w:r>
      <w:r>
        <w:t xml:space="preserve"> </w:t>
      </w:r>
      <w:r>
        <w:t xml:space="preserve">two independent sources or documentary support; (b) a request for comment; (c) attribution language</w:t>
      </w:r>
      <w:r>
        <w:t xml:space="preserve"> </w:t>
      </w:r>
      <w:r>
        <w:t xml:space="preserve">(</w:t>
      </w:r>
      <w:r>
        <w:t xml:space="preserve">“</w:t>
      </w:r>
      <w:r>
        <w:t xml:space="preserve">X stated under oath that…</w:t>
      </w:r>
      <w:r>
        <w:t xml:space="preserve">”</w:t>
      </w:r>
      <w:r>
        <w:t xml:space="preserve">) rather than assertion; and (d) counsel review. See</w:t>
      </w:r>
      <w:r>
        <w:t xml:space="preserve"> </w:t>
      </w:r>
      <w:hyperlink r:id="rId20">
        <w:r>
          <w:rPr>
            <w:rStyle w:val="Hyperlink"/>
          </w:rPr>
          <w:t xml:space="preserve">Issue G1</w:t>
        </w:r>
      </w:hyperlink>
      <w:r>
        <w:t xml:space="preserve">.</w:t>
      </w:r>
    </w:p>
    <w:p>
      <w:pPr>
        <w:pStyle w:val="BodyText"/>
      </w:pPr>
      <w:r>
        <w:rPr>
          <w:bCs/>
          <w:b/>
        </w:rPr>
        <w:t xml:space="preserve">7. Corrections.</w:t>
      </w:r>
      <w:r>
        <w:t xml:space="preserve"> </w:t>
      </w:r>
      <w:r>
        <w:t xml:space="preserve">Errors shall be corrected promptly and transparently.</w:t>
      </w:r>
    </w:p>
    <w:p>
      <w:pPr>
        <w:pStyle w:val="BodyText"/>
      </w:pPr>
      <w:r>
        <w:rPr>
          <w:bCs/>
          <w:b/>
        </w:rPr>
        <w:t xml:space="preserve">8. Training.</w:t>
      </w:r>
      <w:r>
        <w:t xml:space="preserve"> </w:t>
      </w:r>
      <w:r>
        <w:t xml:space="preserve">All staff working on UAP stories shall review this protocol annually.</w:t>
      </w:r>
    </w:p>
    <w:bookmarkEnd w:id="21"/>
    <w:sectPr>
      <w:headerReference w:type="default" r:id="rId11"/>
      <w:footerReference w:type="default" r:id="rId12"/>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B4-2. Newsroom and Website Protocol for Receiving and Publishing UAP Material That May Be Classified</dc:title>
  <dc:creator>nhilaw.com</dc:creator>
  <cp:keywords/>
  <dcterms:created xsi:type="dcterms:W3CDTF">2026-10-19T03:12:46Z</dcterms:created>
  <dcterms:modified xsi:type="dcterms:W3CDTF">2026-10-19T03:12:46Z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