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Publishing About UAP: Prepublication Review, Prior Restraint, and the Espionage Act</w:t>
      </w:r>
    </w:p>
    <w:p>
      <w:pPr>
        <w:pStyle w:val="Subtitle"/>
      </w:pPr>
      <w:r>
        <w:t xml:space="preserve">Version 1.10 · October 2026 · nhilaw.com/issues/b4.html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Cleared personnel must submit everything touching their former duties for prepublication review; courts enforce the agreements, and the review regimes survived facial challenge (</w:t>
      </w:r>
      <w:r>
        <w:rPr>
          <w:iCs/>
          <w:i/>
        </w:rPr>
        <w:t xml:space="preserve">Snepp</w:t>
      </w:r>
      <w:r>
        <w:t xml:space="preserve">;</w:t>
      </w:r>
      <w:r>
        <w:t xml:space="preserve"> </w:t>
      </w:r>
      <w:r>
        <w:rPr>
          <w:iCs/>
          <w:i/>
        </w:rPr>
        <w:t xml:space="preserve">Edgar v. Haines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A former employee may repeat what the agency itself officially disclosed, but not classified facts that became public some other way (</w:t>
      </w:r>
      <w:r>
        <w:rPr>
          <w:iCs/>
          <w:i/>
        </w:rPr>
        <w:t xml:space="preserve">Wilson v. CIA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Publishers are protected from prior restraint (</w:t>
      </w:r>
      <w:r>
        <w:rPr>
          <w:iCs/>
          <w:i/>
        </w:rPr>
        <w:t xml:space="preserve">Pentagon Papers</w:t>
      </w:r>
      <w:r>
        <w:t xml:space="preserve">) and from civil liability for truthful information lawfully obtained (</w:t>
      </w:r>
      <w:r>
        <w:rPr>
          <w:iCs/>
          <w:i/>
        </w:rPr>
        <w:t xml:space="preserve">Bartnicki</w:t>
      </w:r>
      <w:r>
        <w:t xml:space="preserve">), but 18 U.S.C. §§793(e) and 798 reach recipients who retain or pass on national defense information.</w:t>
      </w:r>
    </w:p>
    <w:p>
      <w:pPr>
        <w:pStyle w:val="Compact"/>
        <w:numPr>
          <w:ilvl w:val="0"/>
          <w:numId w:val="1001"/>
        </w:numPr>
      </w:pPr>
      <w:r>
        <w:t xml:space="preserve">Websites holding UAP material are covered by the Privacy Protection Act, and DOJ’s 2025 news-media rule again allows process against reporters in leak cases.</w:t>
      </w:r>
    </w:p>
    <w:p>
      <w:pPr>
        <w:pStyle w:val="Compact"/>
        <w:numPr>
          <w:ilvl w:val="0"/>
          <w:numId w:val="1001"/>
        </w:numPr>
      </w:pPr>
      <w:r>
        <w:t xml:space="preserve">Released DOPSR files show short items cleared in weeks and a book-length UAP manuscript taking about nine and a half months; submit early and ask for itemized reasons (</w:t>
      </w:r>
      <w:hyperlink r:id="rId21">
        <w:r>
          <w:rPr>
            <w:rStyle w:val="Hyperlink"/>
          </w:rPr>
          <w:t xml:space="preserve">Form B4-1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Two groups need different advice.</w:t>
      </w:r>
    </w:p>
    <w:p>
      <w:pPr>
        <w:pStyle w:val="BodyText"/>
      </w:pPr>
      <w:r>
        <w:rPr>
          <w:bCs/>
          <w:b/>
        </w:rPr>
        <w:t xml:space="preserve">Current and former cleared personnel</w:t>
      </w:r>
      <w:r>
        <w:t xml:space="preserve"> </w:t>
      </w:r>
      <w:r>
        <w:t xml:space="preserve">(service members, civilian employees, contractor employees)</w:t>
      </w:r>
      <w:r>
        <w:t xml:space="preserve"> </w:t>
      </w:r>
      <w:r>
        <w:t xml:space="preserve">are bound by nondisclosure and prepublication review agreements. Courts enforce them. A former official</w:t>
      </w:r>
      <w:r>
        <w:t xml:space="preserve"> </w:t>
      </w:r>
      <w:r>
        <w:t xml:space="preserve">who publishes without required review can lose all profits even if nothing classified appears,</w:t>
      </w:r>
      <w:r>
        <w:t xml:space="preserve"> </w:t>
      </w:r>
      <w:r>
        <w:rPr>
          <w:iCs/>
          <w:i/>
        </w:rPr>
        <w:t xml:space="preserve">Snepp v.</w:t>
      </w:r>
      <w:r>
        <w:rPr>
          <w:iCs/>
          <w:i/>
        </w:rPr>
        <w:t xml:space="preserve"> </w:t>
      </w:r>
      <w:r>
        <w:rPr>
          <w:iCs/>
          <w:i/>
        </w:rPr>
        <w:t xml:space="preserve">United States</w:t>
      </w:r>
      <w:r>
        <w:t xml:space="preserve">, 444 U.S. 507 (1980) (per curiam), and the Fourth Circuit has held that employees who</w:t>
      </w:r>
      <w:r>
        <w:t xml:space="preserve"> </w:t>
      </w:r>
      <w:r>
        <w:t xml:space="preserve">signed the agreements knowingly waived First Amendment objections to the review regimes.</w:t>
      </w:r>
      <w:r>
        <w:t xml:space="preserve"> </w:t>
      </w:r>
      <w:r>
        <w:rPr>
          <w:iCs/>
          <w:i/>
        </w:rPr>
        <w:t xml:space="preserve">Edgar v.</w:t>
      </w:r>
      <w:r>
        <w:rPr>
          <w:iCs/>
          <w:i/>
        </w:rPr>
        <w:t xml:space="preserve"> </w:t>
      </w:r>
      <w:r>
        <w:rPr>
          <w:iCs/>
          <w:i/>
        </w:rPr>
        <w:t xml:space="preserve">Haines</w:t>
      </w:r>
      <w:r>
        <w:t xml:space="preserve">, 2 F.4th 298 (4th Cir. 2021), cert. denied (2022). The safe path for these clients is to submit</w:t>
      </w:r>
      <w:r>
        <w:t xml:space="preserve"> </w:t>
      </w:r>
      <w:r>
        <w:t xml:space="preserve">everything to review (for DoD and Department of War personnel, the Defense Office of Prepublication and</w:t>
      </w:r>
      <w:r>
        <w:t xml:space="preserve"> </w:t>
      </w:r>
      <w:r>
        <w:t xml:space="preserve">Security Review, DOPSR), to keep a record, and to challenge specific redactions if necessary. Statutory</w:t>
      </w:r>
      <w:r>
        <w:t xml:space="preserve"> </w:t>
      </w:r>
      <w:r>
        <w:t xml:space="preserve">disclosure channels (50 U.S.C. §3373b; the PURSUE waiver) authorize disclosures to designated</w:t>
      </w:r>
      <w:r>
        <w:t xml:space="preserve"> </w:t>
      </w:r>
      <w:r>
        <w:t xml:space="preserve">government recipients. None of them authorizes disclosure to the public.</w:t>
      </w:r>
    </w:p>
    <w:p>
      <w:pPr>
        <w:pStyle w:val="BodyText"/>
      </w:pPr>
      <w:r>
        <w:rPr>
          <w:bCs/>
          <w:b/>
        </w:rPr>
        <w:t xml:space="preserve">Journalists, authors, filmmakers, researchers, and websites</w:t>
      </w:r>
      <w:r>
        <w:t xml:space="preserve"> </w:t>
      </w:r>
      <w:r>
        <w:t xml:space="preserve">that receive UAP material have strong</w:t>
      </w:r>
      <w:r>
        <w:t xml:space="preserve"> </w:t>
      </w:r>
      <w:r>
        <w:t xml:space="preserve">protection against prior restraint,</w:t>
      </w:r>
      <w:r>
        <w:t xml:space="preserve"> </w:t>
      </w:r>
      <w:r>
        <w:rPr>
          <w:iCs/>
          <w:i/>
        </w:rPr>
        <w:t xml:space="preserve">New York Times Co. v. United States</w:t>
      </w:r>
      <w:r>
        <w:t xml:space="preserve">, 403 U.S. 713 (1971), and</w:t>
      </w:r>
      <w:r>
        <w:t xml:space="preserve"> </w:t>
      </w:r>
      <w:r>
        <w:t xml:space="preserve">against liability for publishing truthful information of public concern that they lawfully obtained,</w:t>
      </w:r>
      <w:r>
        <w:t xml:space="preserve"> </w:t>
      </w:r>
      <w:r>
        <w:rPr>
          <w:iCs/>
          <w:i/>
        </w:rPr>
        <w:t xml:space="preserve">Bartnicki v. Vopper</w:t>
      </w:r>
      <w:r>
        <w:t xml:space="preserve">, 532 U.S. 514 (2001). Their exposure lies elsewhere: 18 U.S.C. §793(e) reaches</w:t>
      </w:r>
      <w:r>
        <w:t xml:space="preserve"> </w:t>
      </w:r>
      <w:r>
        <w:t xml:space="preserve">anyone with unauthorized possession of national defense information who willfully retains or</w:t>
      </w:r>
      <w:r>
        <w:t xml:space="preserve"> </w:t>
      </w:r>
      <w:r>
        <w:t xml:space="preserve">communicates it, and a district court has applied it to non-government recipients who passed the</w:t>
      </w:r>
      <w:r>
        <w:t xml:space="preserve"> </w:t>
      </w:r>
      <w:r>
        <w:t xml:space="preserve">information on,</w:t>
      </w:r>
      <w:r>
        <w:t xml:space="preserve"> </w:t>
      </w:r>
      <w:r>
        <w:rPr>
          <w:iCs/>
          <w:i/>
        </w:rPr>
        <w:t xml:space="preserve">United States v. Rosen</w:t>
      </w:r>
      <w:r>
        <w:t xml:space="preserve">, 445 F. Supp. 2d 602 (E.D. Va. 2006). The 2024 plea agreement in</w:t>
      </w:r>
      <w:r>
        <w:t xml:space="preserve"> </w:t>
      </w:r>
      <w:r>
        <w:rPr>
          <w:iCs/>
          <w:i/>
        </w:rPr>
        <w:t xml:space="preserve">United States v. Assange</w:t>
      </w:r>
      <w:r>
        <w:t xml:space="preserve"> </w:t>
      </w:r>
      <w:r>
        <w:t xml:space="preserve">(one count under §793) shows that the Department of Justice will charge a</w:t>
      </w:r>
      <w:r>
        <w:t xml:space="preserve"> </w:t>
      </w:r>
      <w:r>
        <w:t xml:space="preserve">publisher, though it produced no judicial ruling.</w:t>
      </w:r>
    </w:p>
    <w:p>
      <w:r>
        <w:pict>
          <v:rect style="width:0;height:1.5pt" o:hralign="center" o:hrstd="t" o:hr="t"/>
        </w:pict>
      </w:r>
    </w:p>
    <w:bookmarkEnd w:id="23"/>
    <w:bookmarkStart w:id="31" w:name="cleared-personnel"/>
    <w:p>
      <w:pPr>
        <w:pStyle w:val="Heading2"/>
      </w:pPr>
      <w:r>
        <w:t xml:space="preserve">2. Cleared personnel</w:t>
      </w:r>
    </w:p>
    <w:bookmarkStart w:id="24" w:name="the-obligation"/>
    <w:p>
      <w:pPr>
        <w:pStyle w:val="Heading3"/>
      </w:pPr>
      <w:r>
        <w:t xml:space="preserve">2.1 The obligation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Agreements.</w:t>
      </w:r>
      <w:r>
        <w:t xml:space="preserve"> </w:t>
      </w:r>
      <w:r>
        <w:t xml:space="preserve">SF-312 (Classified Information Nondisclosure Agreement), SF-4414 (SCI), and Special</w:t>
      </w:r>
      <w:r>
        <w:t xml:space="preserve"> </w:t>
      </w:r>
      <w:r>
        <w:t xml:space="preserve">Access Program indoctrination agreements require prepublication review of material that may contain</w:t>
      </w:r>
      <w:r>
        <w:t xml:space="preserve"> </w:t>
      </w:r>
      <w:r>
        <w:t xml:space="preserve">classified information and create lifetime obligations. DoD Instruction 5230.09 and DoD Instruction 5230.29</w:t>
      </w:r>
      <w:r>
        <w:t xml:space="preserve"> </w:t>
      </w:r>
      <w:r>
        <w:t xml:space="preserve">govern DOPSR review (DoDI 5230.09,</w:t>
      </w:r>
      <w:r>
        <w:t xml:space="preserve"> </w:t>
      </w:r>
      <w:r>
        <w:rPr>
          <w:iCs/>
          <w:i/>
        </w:rPr>
        <w:t xml:space="preserve">Clearance of DoD Information for Public Release</w:t>
      </w:r>
      <w:r>
        <w:t xml:space="preserve"> </w:t>
      </w:r>
      <w:r>
        <w:t xml:space="preserve">(Jan. 25, 2019,</w:t>
      </w:r>
      <w:r>
        <w:t xml:space="preserve"> </w:t>
      </w:r>
      <w:r>
        <w:t xml:space="preserve">Change 1 effective Feb. 9, 2022); DoDI 5230.29 governs the</w:t>
      </w:r>
      <w:r>
        <w:t xml:space="preserve"> </w:t>
      </w:r>
      <w:r>
        <w:t xml:space="preserve">security and policy review process itself). The instruction distinguishes current from former personnel.</w:t>
      </w:r>
      <w:r>
        <w:t xml:space="preserve"> </w:t>
      </w:r>
      <w:r>
        <w:t xml:space="preserve">Official DoD information receives</w:t>
      </w:r>
      <w:r>
        <w:t xml:space="preserve"> </w:t>
      </w:r>
      <w:r>
        <w:t xml:space="preserve">“</w:t>
      </w:r>
      <w:r>
        <w:t xml:space="preserve">security and policy review,</w:t>
      </w:r>
      <w:r>
        <w:t xml:space="preserve">”</w:t>
      </w:r>
      <w:r>
        <w:t xml:space="preserve"> </w:t>
      </w:r>
      <w:r>
        <w:t xml:space="preserve">and clearance of academic work by current</w:t>
      </w:r>
      <w:r>
        <w:t xml:space="preserve"> </w:t>
      </w:r>
      <w:r>
        <w:t xml:space="preserve">personnel requires that</w:t>
      </w:r>
      <w:r>
        <w:t xml:space="preserve"> </w:t>
      </w:r>
      <w:r>
        <w:t xml:space="preserve">“</w:t>
      </w:r>
      <w:r>
        <w:t xml:space="preserve">the author accurately portrays official policy</w:t>
      </w:r>
      <w:r>
        <w:t xml:space="preserve">”</w:t>
      </w:r>
      <w:r>
        <w:t xml:space="preserve"> </w:t>
      </w:r>
      <w:r>
        <w:t xml:space="preserve">(¶1.2.f(2)). Retired and separated</w:t>
      </w:r>
      <w:r>
        <w:t xml:space="preserve"> </w:t>
      </w:r>
      <w:r>
        <w:t xml:space="preserve">service members and former employees and contractors, by contrast,</w:t>
      </w:r>
      <w:r>
        <w:t xml:space="preserve"> </w:t>
      </w:r>
      <w:r>
        <w:t xml:space="preserve">“</w:t>
      </w:r>
      <w:r>
        <w:t xml:space="preserve">will use the DoD prepublication review</w:t>
      </w:r>
      <w:r>
        <w:t xml:space="preserve"> </w:t>
      </w:r>
      <w:r>
        <w:t xml:space="preserve">process to ensure that information they intend to release to the public does not compromise national security</w:t>
      </w:r>
      <w:r>
        <w:t xml:space="preserve"> </w:t>
      </w:r>
      <w:r>
        <w:t xml:space="preserve">as required by their nondisclosure agreements</w:t>
      </w:r>
      <w:r>
        <w:t xml:space="preserve">”</w:t>
      </w:r>
      <w:r>
        <w:t xml:space="preserve"> </w:t>
      </w:r>
      <w:r>
        <w:t xml:space="preserve">(¶1.2.g).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Remedies.</w:t>
      </w:r>
      <w:r>
        <w:t xml:space="preserve"> </w:t>
      </w:r>
      <w:r>
        <w:rPr>
          <w:iCs/>
          <w:i/>
        </w:rPr>
        <w:t xml:space="preserve">Snepp</w:t>
      </w:r>
      <w:r>
        <w:t xml:space="preserve">: a constructive trust over all proceeds for breach of the review obligation,</w:t>
      </w:r>
      <w:r>
        <w:t xml:space="preserve"> </w:t>
      </w:r>
      <w:r>
        <w:t xml:space="preserve">regardless of whether the publication contained classified information.</w:t>
      </w:r>
      <w:r>
        <w:t xml:space="preserve"> </w:t>
      </w:r>
      <w:r>
        <w:rPr>
          <w:iCs/>
          <w:i/>
        </w:rPr>
        <w:t xml:space="preserve">United States v. Marchetti</w:t>
      </w:r>
      <w:r>
        <w:t xml:space="preserve">,</w:t>
      </w:r>
      <w:r>
        <w:t xml:space="preserve"> </w:t>
      </w:r>
      <w:r>
        <w:t xml:space="preserve">466 F.2d 1309 (4th Cir. 1972), and</w:t>
      </w:r>
      <w:r>
        <w:t xml:space="preserve"> </w:t>
      </w:r>
      <w:r>
        <w:rPr>
          <w:iCs/>
          <w:i/>
        </w:rPr>
        <w:t xml:space="preserve">Alfred A. Knopf, Inc. v. Colby</w:t>
      </w:r>
      <w:r>
        <w:t xml:space="preserve">, 509 F.2d 1362 (4th Cir. 1975):</w:t>
      </w:r>
      <w:r>
        <w:t xml:space="preserve"> </w:t>
      </w:r>
      <w:r>
        <w:t xml:space="preserve">injunctions enforcing review and deletion of classified material.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Constitutional challenges.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Edgar v. Haines</w:t>
      </w:r>
      <w:r>
        <w:t xml:space="preserve">, former officials of the CIA, DoD, NSA, and ODNI</w:t>
      </w:r>
      <w:r>
        <w:t xml:space="preserve"> </w:t>
      </w:r>
      <w:r>
        <w:t xml:space="preserve">challenged the review regimes facially. The Fourth Circuit found standing and ripeness but held that</w:t>
      </w:r>
      <w:r>
        <w:t xml:space="preserve"> </w:t>
      </w:r>
      <w:r>
        <w:t xml:space="preserve">by voluntarily signing nondisclosure agreements the plaintiffs</w:t>
      </w:r>
      <w:r>
        <w:t xml:space="preserve"> </w:t>
      </w:r>
      <w:r>
        <w:t xml:space="preserve">“</w:t>
      </w:r>
      <w:r>
        <w:t xml:space="preserve">knowingly waived</w:t>
      </w:r>
      <w:r>
        <w:t xml:space="preserve">”</w:t>
      </w:r>
      <w:r>
        <w:t xml:space="preserve"> </w:t>
      </w:r>
      <w:r>
        <w:t xml:space="preserve">their First</w:t>
      </w:r>
      <w:r>
        <w:t xml:space="preserve"> </w:t>
      </w:r>
      <w:r>
        <w:t xml:space="preserve">Amendment rights to challenge prepublication review, and that the regimes were not overbroad, vague,</w:t>
      </w:r>
      <w:r>
        <w:t xml:space="preserve"> </w:t>
      </w:r>
      <w:r>
        <w:t xml:space="preserve">without adequate deadlines, or lacking in notice. 2 F.4th 298. Certiorari was denied (No. 21-791, May</w:t>
      </w:r>
      <w:r>
        <w:t xml:space="preserve"> </w:t>
      </w:r>
      <w:r>
        <w:t xml:space="preserve">23, 2022).</w:t>
      </w:r>
    </w:p>
    <w:p>
      <w:pPr>
        <w:pStyle w:val="FirstParagraph"/>
      </w:pPr>
      <w:r>
        <w:rPr>
          <w:bCs/>
          <w:b/>
        </w:rPr>
        <w:t xml:space="preserve">Public-domain information is not a defense for the employee.</w:t>
      </w:r>
      <w:r>
        <w:t xml:space="preserve"> </w:t>
      </w:r>
      <w:r>
        <w:t xml:space="preserve">A former employee may publish information the</w:t>
      </w:r>
      <w:r>
        <w:t xml:space="preserve"> </w:t>
      </w:r>
      <w:r>
        <w:t xml:space="preserve">agency itself has officially disclosed, but not classified information that entered the public domain some other</w:t>
      </w:r>
      <w:r>
        <w:t xml:space="preserve"> </w:t>
      </w:r>
      <w:r>
        <w:t xml:space="preserve">way.</w:t>
      </w:r>
      <w:r>
        <w:t xml:space="preserve"> </w:t>
      </w:r>
      <w:r>
        <w:rPr>
          <w:iCs/>
          <w:i/>
        </w:rPr>
        <w:t xml:space="preserve">Wilson v. CIA</w:t>
      </w:r>
      <w:r>
        <w:t xml:space="preserve">, 586 F.3d 171, 183-84, 186, 191-92 (2d Cir. 2009) (former officer barred from publishing her</w:t>
      </w:r>
      <w:r>
        <w:t xml:space="preserve"> </w:t>
      </w:r>
      <w:r>
        <w:t xml:space="preserve">dates of service although the same facts appeared in the Congressional Record and the press). UAP authors who were</w:t>
      </w:r>
      <w:r>
        <w:t xml:space="preserve"> </w:t>
      </w:r>
      <w:r>
        <w:t xml:space="preserve">cleared should therefore cite official sources (statutes, AARO and ODNI reports, Department of War releases) for</w:t>
      </w:r>
      <w:r>
        <w:t xml:space="preserve"> </w:t>
      </w:r>
      <w:r>
        <w:t xml:space="preserve">every fact they want to keep, and should not rely on what other insiders, journalists, or former officials have</w:t>
      </w:r>
      <w:r>
        <w:t xml:space="preserve"> </w:t>
      </w:r>
      <w:r>
        <w:t xml:space="preserve">said. That includes the accounts of other former officials published since 2023.</w:t>
      </w:r>
    </w:p>
    <w:bookmarkEnd w:id="24"/>
    <w:bookmarkStart w:id="25" w:name="challenging-specific-redactions"/>
    <w:p>
      <w:pPr>
        <w:pStyle w:val="Heading3"/>
      </w:pPr>
      <w:r>
        <w:t xml:space="preserve">2.2 Challenging specific redactions</w:t>
      </w:r>
    </w:p>
    <w:p>
      <w:pPr>
        <w:pStyle w:val="FirstParagraph"/>
      </w:pPr>
      <w:r>
        <w:t xml:space="preserve">Review decisions are reviewable in court for whether the redacted material is properly classified.</w:t>
      </w:r>
      <w:r>
        <w:t xml:space="preserve"> </w:t>
      </w:r>
      <w:r>
        <w:rPr>
          <w:iCs/>
          <w:i/>
        </w:rPr>
        <w:t xml:space="preserve">McGehee v. Casey</w:t>
      </w:r>
      <w:r>
        <w:t xml:space="preserve">, 718 F.2d 1137 (D.C. Cir. 1983) (deferential but meaningful review; agency must give</w:t>
      </w:r>
      <w:r>
        <w:t xml:space="preserve"> </w:t>
      </w:r>
      <w:r>
        <w:t xml:space="preserve">reasons);</w:t>
      </w:r>
      <w:r>
        <w:t xml:space="preserve"> </w:t>
      </w:r>
      <w:r>
        <w:rPr>
          <w:iCs/>
          <w:i/>
        </w:rPr>
        <w:t xml:space="preserve">Stillman v. CIA</w:t>
      </w:r>
      <w:r>
        <w:t xml:space="preserve">, 319 F.3d 546 (D.C. Cir. 2003) (court should first decide whether material is</w:t>
      </w:r>
      <w:r>
        <w:t xml:space="preserve"> </w:t>
      </w:r>
      <w:r>
        <w:t xml:space="preserve">classified, and consider counsel access only if necessary).</w:t>
      </w:r>
      <w:r>
        <w:t xml:space="preserve"> </w:t>
      </w:r>
      <w:r>
        <w:rPr>
          <w:iCs/>
          <w:i/>
        </w:rPr>
        <w:t xml:space="preserve">Edgar</w:t>
      </w:r>
      <w:r>
        <w:t xml:space="preserve"> </w:t>
      </w:r>
      <w:r>
        <w:t xml:space="preserve">does not foreclose as-applied</w:t>
      </w:r>
      <w:r>
        <w:t xml:space="preserve"> </w:t>
      </w:r>
      <w:r>
        <w:t xml:space="preserve">challenges to particular redactions. Practitioners should:</w:t>
      </w:r>
    </w:p>
    <w:p>
      <w:pPr>
        <w:pStyle w:val="Compact"/>
        <w:numPr>
          <w:ilvl w:val="0"/>
          <w:numId w:val="1003"/>
        </w:numPr>
      </w:pPr>
      <w:r>
        <w:t xml:space="preserve">submit everything that touches the client’s former duties, including screenplays, podcasts, and</w:t>
      </w:r>
      <w:r>
        <w:t xml:space="preserve"> </w:t>
      </w:r>
      <w:r>
        <w:t xml:space="preserve">social-media posts on UAP (DOPSR reviewed Luis Elizondo’s 2020 screenplay submission, FOIA release</w:t>
      </w:r>
      <w:r>
        <w:t xml:space="preserve"> </w:t>
      </w:r>
      <w:r>
        <w:t xml:space="preserve">22-F-1178);</w:t>
      </w:r>
    </w:p>
    <w:p>
      <w:pPr>
        <w:pStyle w:val="Compact"/>
        <w:numPr>
          <w:ilvl w:val="0"/>
          <w:numId w:val="1003"/>
        </w:numPr>
      </w:pPr>
      <w:r>
        <w:t xml:space="preserve">request itemized reasons for each redaction;</w:t>
      </w:r>
    </w:p>
    <w:p>
      <w:pPr>
        <w:pStyle w:val="Compact"/>
        <w:numPr>
          <w:ilvl w:val="0"/>
          <w:numId w:val="1003"/>
        </w:numPr>
      </w:pPr>
      <w:r>
        <w:t xml:space="preserve">propose rewording that removes classified detail while preserving the point;</w:t>
      </w:r>
    </w:p>
    <w:p>
      <w:pPr>
        <w:pStyle w:val="Compact"/>
        <w:numPr>
          <w:ilvl w:val="0"/>
          <w:numId w:val="1003"/>
        </w:numPr>
      </w:pPr>
      <w:r>
        <w:t xml:space="preserve">cite official acknowledgments (statutes, AARO reports, released records) to show that redacted</w:t>
      </w:r>
      <w:r>
        <w:t xml:space="preserve"> </w:t>
      </w:r>
      <w:r>
        <w:t xml:space="preserve">material is already officially public; and</w:t>
      </w:r>
    </w:p>
    <w:p>
      <w:pPr>
        <w:pStyle w:val="Compact"/>
        <w:numPr>
          <w:ilvl w:val="0"/>
          <w:numId w:val="1003"/>
        </w:numPr>
      </w:pPr>
      <w:r>
        <w:t xml:space="preserve">appeal administratively, then file suit challenging specific redactions.</w:t>
      </w:r>
    </w:p>
    <w:bookmarkEnd w:id="25"/>
    <w:bookmarkStart w:id="28" w:name="statutory-disclosure-channels"/>
    <w:p>
      <w:pPr>
        <w:pStyle w:val="Heading3"/>
      </w:pPr>
      <w:r>
        <w:t xml:space="preserve">2.3 Statutory disclosure channels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50 U.S.C. §3373b</w:t>
      </w:r>
      <w:r>
        <w:t xml:space="preserve"> </w:t>
      </w:r>
      <w:r>
        <w:t xml:space="preserve">authorizes disclosures to AARO’s reporting mechanism and provides that such a</w:t>
      </w:r>
      <w:r>
        <w:t xml:space="preserve"> </w:t>
      </w:r>
      <w:r>
        <w:t xml:space="preserve">disclosure is not subject to an NDA, is deemed to comply with EO 13526 and Atomic Energy Act rules, and</w:t>
      </w:r>
      <w:r>
        <w:t xml:space="preserve"> </w:t>
      </w:r>
      <w:r>
        <w:t xml:space="preserve">is not a violation of 18 U.S.C. §798 or other disclosure laws (</w:t>
      </w:r>
      <w:hyperlink r:id="rId26">
        <w:r>
          <w:rPr>
            <w:rStyle w:val="Hyperlink"/>
          </w:rPr>
          <w:t xml:space="preserve">Issue A3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PURSUE waiver</w:t>
      </w:r>
      <w:r>
        <w:t xml:space="preserve"> </w:t>
      </w:r>
      <w:r>
        <w:t xml:space="preserve">(Department of War, Sept. 14, 2026) supersedes civil and administrative enforcement of</w:t>
      </w:r>
      <w:r>
        <w:t xml:space="preserve"> </w:t>
      </w:r>
      <w:r>
        <w:t xml:space="preserve">NDAs and SAP agreements for communications to PURSUE representatives (Issue C2).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Congress.</w:t>
      </w:r>
      <w:r>
        <w:t xml:space="preserve"> </w:t>
      </w:r>
      <w:r>
        <w:t xml:space="preserve">Disclosures to the intelligence committees through the IC whistleblower channels (50</w:t>
      </w:r>
      <w:r>
        <w:t xml:space="preserve"> </w:t>
      </w:r>
      <w:r>
        <w:t xml:space="preserve">U.S.C. §3033(k)(5); §3234) are protected; disclosures of classified information to individual members</w:t>
      </w:r>
      <w:r>
        <w:t xml:space="preserve"> </w:t>
      </w:r>
      <w:r>
        <w:t xml:space="preserve">outside those channels are not clearly protected (</w:t>
      </w:r>
      <w:hyperlink r:id="rId27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pPr>
        <w:pStyle w:val="FirstParagraph"/>
      </w:pPr>
      <w:r>
        <w:t xml:space="preserve">None of these authorizes public disclosure. A client who wants to speak publicly must go through</w:t>
      </w:r>
      <w:r>
        <w:t xml:space="preserve"> </w:t>
      </w:r>
      <w:r>
        <w:t xml:space="preserve">prepublication review for anything related to classified duties.</w:t>
      </w:r>
    </w:p>
    <w:bookmarkEnd w:id="28"/>
    <w:bookmarkStart w:id="29" w:name="david-grusch-as-an-example"/>
    <w:p>
      <w:pPr>
        <w:pStyle w:val="Heading3"/>
      </w:pPr>
      <w:r>
        <w:t xml:space="preserve">2.4 David Grusch as an example</w:t>
      </w:r>
    </w:p>
    <w:p>
      <w:pPr>
        <w:pStyle w:val="FirstParagraph"/>
      </w:pPr>
      <w:r>
        <w:t xml:space="preserve">Grusch’s written statement and talking points were cleared by DOPSR</w:t>
      </w:r>
      <w:r>
        <w:t xml:space="preserve"> </w:t>
      </w:r>
      <w:r>
        <w:t xml:space="preserve">“</w:t>
      </w:r>
      <w:r>
        <w:t xml:space="preserve">for open publication</w:t>
      </w:r>
      <w:r>
        <w:t xml:space="preserve">”</w:t>
      </w:r>
      <w:r>
        <w:t xml:space="preserve"> </w:t>
      </w:r>
      <w:r>
        <w:t xml:space="preserve">in April 2023</w:t>
      </w:r>
      <w:r>
        <w:t xml:space="preserve"> </w:t>
      </w:r>
      <w:r>
        <w:t xml:space="preserve">before his public interviews and July 2023 House testimony. His experience shows the workable sequence:</w:t>
      </w:r>
      <w:r>
        <w:t xml:space="preserve"> </w:t>
      </w:r>
      <w:r>
        <w:t xml:space="preserve">statutory disclosure to an inspector general and Congress through protected channels, then DOPSR review</w:t>
      </w:r>
      <w:r>
        <w:t xml:space="preserve"> </w:t>
      </w:r>
      <w:r>
        <w:t xml:space="preserve">of what he intended to say publicly, then publication within the cleared scope.</w:t>
      </w:r>
    </w:p>
    <w:bookmarkEnd w:id="29"/>
    <w:bookmarkStart w:id="30" w:name="what-the-released-dopsr-files-show"/>
    <w:p>
      <w:pPr>
        <w:pStyle w:val="Heading3"/>
      </w:pPr>
      <w:r>
        <w:t xml:space="preserve">2.5 What the released DOPSR files show</w:t>
      </w:r>
    </w:p>
    <w:p>
      <w:pPr>
        <w:pStyle w:val="FirstParagraph"/>
      </w:pPr>
      <w:r>
        <w:t xml:space="preserve">DoD has released, through FOIA, its prepublication review files for several UAP authors. They give</w:t>
      </w:r>
      <w:r>
        <w:t xml:space="preserve"> </w:t>
      </w:r>
      <w:r>
        <w:t xml:space="preserve">practitioners a realistic picture of timing and process (the files are posted in the DoD FOIA reading room):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Release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 and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22-F-1178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Luis Elizondo, screenplay</w:t>
            </w:r>
            <w:r>
              <w:t xml:space="preserve"> </w:t>
            </w:r>
            <w:r>
              <w:t xml:space="preserve">“</w:t>
            </w:r>
            <w:r>
              <w:t xml:space="preserve">Alone</w:t>
            </w:r>
            <w:r>
              <w:t xml:space="preserve">”</w:t>
            </w:r>
            <w:r>
              <w:t xml:space="preserve"> </w:t>
            </w:r>
            <w:r>
              <w:t xml:space="preserve">(DOPSR 20-SB-0149)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Sept. 30, 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Cleared; final letter sent Monday, Nov. 30, 2020 per DOPSR email, re-sent Dec. 3, 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Fiction drawing on former duties was submitted and cleared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23-F-0946/0958/1317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David Grusch,</w:t>
            </w:r>
            <w:r>
              <w:t xml:space="preserve"> </w:t>
            </w:r>
            <w:r>
              <w:t xml:space="preserve">“</w:t>
            </w:r>
            <w:r>
              <w:t xml:space="preserve">Speaker/Author Summary</w:t>
            </w:r>
            <w:r>
              <w:t xml:space="preserve">”</w:t>
            </w:r>
            <w:r>
              <w:t xml:space="preserve"> </w:t>
            </w:r>
            <w:r>
              <w:t xml:space="preserve">(23-S-1405) and interview questions (23-S-1707)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Mar. 7 and Apr. 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Cleared Apr. 4 and Apr. 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Reviewed in house; no outside coordination recorded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25-F-1324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Christopher Mellon, article (22-S-2014)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1,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Cleared July 5,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Routed to USD(I) and the Air Force; both</w:t>
            </w:r>
            <w:r>
              <w:t xml:space="preserve"> </w:t>
            </w:r>
            <w:r>
              <w:t xml:space="preserve">“</w:t>
            </w:r>
            <w:r>
              <w:t xml:space="preserve">no objection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25-F-1324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Christopher Mellon,</w:t>
            </w:r>
            <w:r>
              <w:t xml:space="preserve"> </w:t>
            </w:r>
            <w:r>
              <w:t xml:space="preserve">“</w:t>
            </w:r>
            <w:r>
              <w:t xml:space="preserve">UAPs and the Extraterrestrial Hypothesis?</w:t>
            </w:r>
            <w:r>
              <w:t xml:space="preserve">”</w:t>
            </w:r>
            <w:r>
              <w:t xml:space="preserve"> </w:t>
            </w:r>
            <w:r>
              <w:t xml:space="preserve">(22-S-2643)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Aug. 19,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Cleared as Amended,</w:t>
            </w:r>
            <w:r>
              <w:t xml:space="preserve">”</w:t>
            </w:r>
            <w:r>
              <w:t xml:space="preserve"> </w:t>
            </w:r>
            <w:r>
              <w:t xml:space="preserve">Sept. 12,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Worksheet records</w:t>
            </w:r>
            <w:r>
              <w:t xml:space="preserve"> </w:t>
            </w:r>
            <w:r>
              <w:t xml:space="preserve">“</w:t>
            </w:r>
            <w:r>
              <w:t xml:space="preserve">In House: as amended, for accuracy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24-F-1134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Christopher Mellon,</w:t>
            </w:r>
            <w:r>
              <w:t xml:space="preserve"> </w:t>
            </w:r>
            <w:r>
              <w:t xml:space="preserve">“</w:t>
            </w:r>
            <w:r>
              <w:t xml:space="preserve">Message to CKM</w:t>
            </w:r>
            <w:r>
              <w:t xml:space="preserve">”</w:t>
            </w:r>
            <w:r>
              <w:t xml:space="preserve"> </w:t>
            </w:r>
            <w:r>
              <w:t xml:space="preserve">(24-P-0258)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Jan. 19,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Routed to USD(I&amp;S) and AARO; AARO</w:t>
            </w:r>
            <w:r>
              <w:t xml:space="preserve"> </w:t>
            </w:r>
            <w:r>
              <w:t xml:space="preserve">“</w:t>
            </w:r>
            <w:r>
              <w:t xml:space="preserve">no objection</w:t>
            </w:r>
            <w:r>
              <w:t xml:space="preserve">”</w:t>
            </w:r>
            <w:r>
              <w:t xml:space="preserve"> </w:t>
            </w:r>
            <w:r>
              <w:t xml:space="preserve">Feb. 29,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24-F-0088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James Lacatski, manuscript,</w:t>
            </w:r>
            <w:r>
              <w:t xml:space="preserve"> </w:t>
            </w:r>
            <w:r>
              <w:rPr>
                <w:iCs/>
                <w:i/>
              </w:rPr>
              <w:t xml:space="preserve">The U.S. Government’s Secret UAP/UFO Program: The Beginning</w:t>
            </w:r>
            <w:r>
              <w:t xml:space="preserve"> </w:t>
            </w:r>
            <w:r>
              <w:t xml:space="preserve">(22-SB-0151)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11,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Cleared Apr. 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 cleared its equities effective Apr. 20, 2023, apologizing for the</w:t>
            </w:r>
            <w:r>
              <w:t xml:space="preserve"> </w:t>
            </w:r>
            <w:r>
              <w:t xml:space="preserve">“</w:t>
            </w:r>
            <w:r>
              <w:t xml:space="preserve">lengthy turnaround</w:t>
            </w:r>
            <w:r>
              <w:t xml:space="preserve">”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w:r>
              <w:t xml:space="preserve">“</w:t>
            </w:r>
            <w:r>
              <w:t xml:space="preserve">the sensitive subject content</w:t>
            </w:r>
            <w:r>
              <w:t xml:space="preserve">”</w:t>
            </w:r>
            <w:r>
              <w:t xml:space="preserve"> </w:t>
            </w:r>
            <w:r>
              <w:t xml:space="preserve">required</w:t>
            </w:r>
            <w:r>
              <w:t xml:space="preserve"> </w:t>
            </w:r>
            <w:r>
              <w:t xml:space="preserve">“</w:t>
            </w:r>
            <w:r>
              <w:t xml:space="preserve">extensive breakdown efforts by DIA subject matter experts</w:t>
            </w:r>
            <w:r>
              <w:t xml:space="preserve">”</w:t>
            </w:r>
          </w:p>
        </w:tc>
      </w:tr>
    </w:tbl>
    <w:p>
      <w:pPr>
        <w:pStyle w:val="BodyText"/>
      </w:pPr>
      <w:r>
        <w:t xml:space="preserve">DIA’s acknowledgment in the Lacatski file gives its estimated timelines: up to 3 business days for</w:t>
      </w:r>
      <w:r>
        <w:t xml:space="preserve"> </w:t>
      </w:r>
      <w:r>
        <w:t xml:space="preserve">congressional items, 5-15 for short items, 15-20 for technical items, and 30-90 for manuscripts, subject to</w:t>
      </w:r>
      <w:r>
        <w:t xml:space="preserve"> </w:t>
      </w:r>
      <w:r>
        <w:t xml:space="preserve">workload and coordination. The Lacatski review took about nine and a half months, far beyond that range.</w:t>
      </w:r>
    </w:p>
    <w:p>
      <w:pPr>
        <w:pStyle w:val="BodyText"/>
      </w:pPr>
      <w:r>
        <w:t xml:space="preserve">Short items by former officials were cleared in days or weeks, while a</w:t>
      </w:r>
      <w:r>
        <w:t xml:space="preserve"> </w:t>
      </w:r>
      <w:r>
        <w:t xml:space="preserve">book-length manuscript on a UAP program took most of a year; clients planning a book should submit early and</w:t>
      </w:r>
      <w:r>
        <w:t xml:space="preserve"> </w:t>
      </w:r>
      <w:r>
        <w:t xml:space="preserve">document every status inquiry, since an unreasonable delay is the strongest basis for a later as-applied</w:t>
      </w:r>
      <w:r>
        <w:t xml:space="preserve"> </w:t>
      </w:r>
      <w:r>
        <w:t xml:space="preserve">challenge. DoD routes UAP submissions to AARO and to the office that holds the equities (USD(I&amp;S),</w:t>
      </w:r>
      <w:r>
        <w:t xml:space="preserve"> </w:t>
      </w:r>
      <w:r>
        <w:t xml:space="preserve">the Air Force, DIA); counsel should ask DOPSR which offices received the work and follow up with each.</w:t>
      </w:r>
      <w:r>
        <w:t xml:space="preserve"> </w:t>
      </w:r>
      <w:r>
        <w:t xml:space="preserve">The Mellon worksheet shows a reviewer amending a submission</w:t>
      </w:r>
      <w:r>
        <w:t xml:space="preserve"> </w:t>
      </w:r>
      <w:r>
        <w:t xml:space="preserve">“</w:t>
      </w:r>
      <w:r>
        <w:t xml:space="preserve">for accuracy.</w:t>
      </w:r>
      <w:r>
        <w:t xml:space="preserve">”</w:t>
      </w:r>
      <w:r>
        <w:t xml:space="preserve"> </w:t>
      </w:r>
      <w:r>
        <w:t xml:space="preserve">The SF-312 review obligation</w:t>
      </w:r>
      <w:r>
        <w:t xml:space="preserve"> </w:t>
      </w:r>
      <w:r>
        <w:t xml:space="preserve">and the cases enforcing it (</w:t>
      </w:r>
      <w:r>
        <w:rPr>
          <w:iCs/>
          <w:i/>
        </w:rPr>
        <w:t xml:space="preserve">Snepp</w:t>
      </w:r>
      <w:r>
        <w:t xml:space="preserve">,</w:t>
      </w:r>
      <w:r>
        <w:t xml:space="preserve"> </w:t>
      </w:r>
      <w:r>
        <w:rPr>
          <w:iCs/>
          <w:i/>
        </w:rPr>
        <w:t xml:space="preserve">McGehee</w:t>
      </w:r>
      <w:r>
        <w:t xml:space="preserve">,</w:t>
      </w:r>
      <w:r>
        <w:t xml:space="preserve"> </w:t>
      </w:r>
      <w:r>
        <w:rPr>
          <w:iCs/>
          <w:i/>
        </w:rPr>
        <w:t xml:space="preserve">Edgar</w:t>
      </w:r>
      <w:r>
        <w:t xml:space="preserve">) rest on the government’s interest in protecting</w:t>
      </w:r>
      <w:r>
        <w:t xml:space="preserve"> </w:t>
      </w:r>
      <w:r>
        <w:t xml:space="preserve">classified information, and DoDI 5230.09 ¶1.2.g describes the review of former personnel’s work in the same</w:t>
      </w:r>
      <w:r>
        <w:t xml:space="preserve"> </w:t>
      </w:r>
      <w:r>
        <w:t xml:space="preserve">terms (whether it would</w:t>
      </w:r>
      <w:r>
        <w:t xml:space="preserve"> </w:t>
      </w:r>
      <w:r>
        <w:t xml:space="preserve">“</w:t>
      </w:r>
      <w:r>
        <w:t xml:space="preserve">compromise national security as required by their nondisclosure agreements</w:t>
      </w:r>
      <w:r>
        <w:t xml:space="preserve">”</w:t>
      </w:r>
      <w:r>
        <w:t xml:space="preserve">). An</w:t>
      </w:r>
      <w:r>
        <w:t xml:space="preserve"> </w:t>
      </w:r>
      <w:r>
        <w:t xml:space="preserve">amendment made for accuracy therefore has no evident basis as applied to a former employee unless the reviewer</w:t>
      </w:r>
      <w:r>
        <w:t xml:space="preserve"> </w:t>
      </w:r>
      <w:r>
        <w:t xml:space="preserve">also identifies a security concern. Counsel</w:t>
      </w:r>
      <w:r>
        <w:t xml:space="preserve"> </w:t>
      </w:r>
      <w:r>
        <w:t xml:space="preserve">should ask DOPSR to identify the basis for any amendment and to separate security amendments (which bind the</w:t>
      </w:r>
      <w:r>
        <w:t xml:space="preserve"> </w:t>
      </w:r>
      <w:r>
        <w:t xml:space="preserve">author) from accuracy or policy suggestions (which do not), and</w:t>
      </w:r>
      <w:r>
        <w:t xml:space="preserve"> </w:t>
      </w:r>
      <w:hyperlink r:id="rId21">
        <w:r>
          <w:rPr>
            <w:rStyle w:val="Hyperlink"/>
          </w:rPr>
          <w:t xml:space="preserve">Form B4-1</w:t>
        </w:r>
      </w:hyperlink>
      <w:r>
        <w:t xml:space="preserve"> </w:t>
      </w:r>
      <w:r>
        <w:t xml:space="preserve">asks for itemized reasons for that</w:t>
      </w:r>
      <w:r>
        <w:t xml:space="preserve"> </w:t>
      </w:r>
      <w:r>
        <w:t xml:space="preserve">purpose.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41" w:name="publishers-and-recipients"/>
    <w:p>
      <w:pPr>
        <w:pStyle w:val="Heading2"/>
      </w:pPr>
      <w:r>
        <w:t xml:space="preserve">3. Publishers and recipients</w:t>
      </w:r>
    </w:p>
    <w:bookmarkStart w:id="33" w:name="prior-restraint"/>
    <w:p>
      <w:pPr>
        <w:pStyle w:val="Heading3"/>
      </w:pPr>
      <w:r>
        <w:t xml:space="preserve">3.1 Prior restraint</w:t>
      </w:r>
    </w:p>
    <w:p>
      <w:pPr>
        <w:pStyle w:val="FirstParagraph"/>
      </w:pPr>
      <w:r>
        <w:t xml:space="preserve">The government</w:t>
      </w:r>
      <w:r>
        <w:t xml:space="preserve"> </w:t>
      </w:r>
      <w:r>
        <w:t xml:space="preserve">“</w:t>
      </w:r>
      <w:r>
        <w:t xml:space="preserve">carries a heavy burden of showing justification</w:t>
      </w:r>
      <w:r>
        <w:t xml:space="preserve">”</w:t>
      </w:r>
      <w:r>
        <w:t xml:space="preserve"> </w:t>
      </w:r>
      <w:r>
        <w:t xml:space="preserve">for a prior restraint.</w:t>
      </w:r>
      <w:r>
        <w:t xml:space="preserve"> </w:t>
      </w:r>
      <w:r>
        <w:rPr>
          <w:iCs/>
          <w:i/>
        </w:rPr>
        <w:t xml:space="preserve">New York Times</w:t>
      </w:r>
      <w:r>
        <w:rPr>
          <w:iCs/>
          <w:i/>
        </w:rPr>
        <w:t xml:space="preserve"> </w:t>
      </w:r>
      <w:r>
        <w:rPr>
          <w:iCs/>
          <w:i/>
        </w:rPr>
        <w:t xml:space="preserve">Co. v. United States</w:t>
      </w:r>
      <w:r>
        <w:t xml:space="preserve">, 403 U.S. 713, 714 (1971) (per curiam). The concurrences differ on what showing</w:t>
      </w:r>
      <w:r>
        <w:t xml:space="preserve"> </w:t>
      </w:r>
      <w:r>
        <w:t xml:space="preserve">would suffice; Justice Stewart’s formulation (</w:t>
      </w:r>
      <w:r>
        <w:t xml:space="preserve">“</w:t>
      </w:r>
      <w:r>
        <w:t xml:space="preserve">direct, immediate, and irreparable damage to our Nation or</w:t>
      </w:r>
      <w:r>
        <w:t xml:space="preserve"> </w:t>
      </w:r>
      <w:r>
        <w:t xml:space="preserve">its people,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730) is the common reference.</w:t>
      </w:r>
      <w:r>
        <w:t xml:space="preserve"> </w:t>
      </w:r>
      <w:r>
        <w:rPr>
          <w:iCs/>
          <w:i/>
        </w:rPr>
        <w:t xml:space="preserve">Near v. Minnesota</w:t>
      </w:r>
      <w:r>
        <w:t xml:space="preserve">, 283 U.S. 697, 716 (1931),</w:t>
      </w:r>
      <w:r>
        <w:t xml:space="preserve"> </w:t>
      </w:r>
      <w:r>
        <w:t xml:space="preserve">recognized a narrow exception for wartime publication of troop movements. The only court to enjoin</w:t>
      </w:r>
      <w:r>
        <w:t xml:space="preserve"> </w:t>
      </w:r>
      <w:r>
        <w:t xml:space="preserve">publication of national security science did so under the Atomic Energy Act’s Restricted Data provisions</w:t>
      </w:r>
      <w:r>
        <w:t xml:space="preserve"> </w:t>
      </w:r>
      <w:r>
        <w:t xml:space="preserve">(</w:t>
      </w:r>
      <w:r>
        <w:rPr>
          <w:iCs/>
          <w:i/>
        </w:rPr>
        <w:t xml:space="preserve">United States v. The Progressive, Inc.</w:t>
      </w:r>
      <w:r>
        <w:t xml:space="preserve">, 467 F. Supp. 990 (W.D. Wis. 1979);</w:t>
      </w:r>
      <w:r>
        <w:t xml:space="preserve"> </w:t>
      </w:r>
      <w:hyperlink r:id="rId32">
        <w:r>
          <w:rPr>
            <w:rStyle w:val="Hyperlink"/>
          </w:rPr>
          <w:t xml:space="preserve">Issue A5</w:t>
        </w:r>
      </w:hyperlink>
      <w:r>
        <w:t xml:space="preserve">). An injunction</w:t>
      </w:r>
      <w:r>
        <w:t xml:space="preserve"> </w:t>
      </w:r>
      <w:r>
        <w:t xml:space="preserve">against publishing UAP imagery or documents would face the</w:t>
      </w:r>
      <w:r>
        <w:t xml:space="preserve"> </w:t>
      </w:r>
      <w:r>
        <w:rPr>
          <w:iCs/>
          <w:i/>
        </w:rPr>
        <w:t xml:space="preserve">Pentagon Papers</w:t>
      </w:r>
      <w:r>
        <w:t xml:space="preserve"> </w:t>
      </w:r>
      <w:r>
        <w:t xml:space="preserve">standard unless the material</w:t>
      </w:r>
      <w:r>
        <w:t xml:space="preserve"> </w:t>
      </w:r>
      <w:r>
        <w:t xml:space="preserve">fell within Restricted Data or another specific statutory scheme.</w:t>
      </w:r>
    </w:p>
    <w:bookmarkEnd w:id="33"/>
    <w:bookmarkStart w:id="35" w:name="liability-for-publication"/>
    <w:p>
      <w:pPr>
        <w:pStyle w:val="Heading3"/>
      </w:pPr>
      <w:r>
        <w:t xml:space="preserve">3.2 Liability for publication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Bartnicki.</w:t>
      </w:r>
      <w:r>
        <w:t xml:space="preserve"> </w:t>
      </w:r>
      <w:r>
        <w:t xml:space="preserve">A publisher who did not participate in an unlawful interception may publish truthful</w:t>
      </w:r>
      <w:r>
        <w:t xml:space="preserve"> </w:t>
      </w:r>
      <w:r>
        <w:t xml:space="preserve">information of public concern without civil liability under the wiretap statute. 532 U.S. at 535. The</w:t>
      </w:r>
      <w:r>
        <w:t xml:space="preserve"> </w:t>
      </w:r>
      <w:r>
        <w:t xml:space="preserve">case concerned a civil damages statute and did not resolve criminal liability for national defense</w:t>
      </w:r>
      <w:r>
        <w:t xml:space="preserve"> </w:t>
      </w:r>
      <w:r>
        <w:t xml:space="preserve">information.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18 U.S.C. §793(e).</w:t>
      </w:r>
      <w:r>
        <w:t xml:space="preserve"> </w:t>
      </w:r>
      <w:r>
        <w:t xml:space="preserve">Whoever has</w:t>
      </w:r>
      <w:r>
        <w:t xml:space="preserve"> </w:t>
      </w:r>
      <w:r>
        <w:t xml:space="preserve">“</w:t>
      </w:r>
      <w:r>
        <w:t xml:space="preserve">unauthorized possession of, access to, or control over</w:t>
      </w:r>
      <w:r>
        <w:t xml:space="preserve">”</w:t>
      </w:r>
      <w:r>
        <w:t xml:space="preserve"> </w:t>
      </w:r>
      <w:r>
        <w:t xml:space="preserve">documents or</w:t>
      </w:r>
      <w:r>
        <w:t xml:space="preserve"> </w:t>
      </w:r>
      <w:r>
        <w:t xml:space="preserve">information relating to the national defense, and willfully communicates or retains them, commits a</w:t>
      </w:r>
      <w:r>
        <w:t xml:space="preserve"> </w:t>
      </w:r>
      <w:r>
        <w:t xml:space="preserve">felony; for intangible information, the person must have</w:t>
      </w:r>
      <w:r>
        <w:t xml:space="preserve"> </w:t>
      </w:r>
      <w:r>
        <w:t xml:space="preserve">“</w:t>
      </w:r>
      <w:r>
        <w:t xml:space="preserve">reason to believe [it] could be used to the</w:t>
      </w:r>
      <w:r>
        <w:t xml:space="preserve"> </w:t>
      </w:r>
      <w:r>
        <w:t xml:space="preserve">injury of the United States or to the advantage of any foreign nation.</w:t>
      </w:r>
      <w:r>
        <w:t xml:space="preserve">”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Rosen</w:t>
      </w:r>
      <w:r>
        <w:t xml:space="preserve">, Judge Ellis held</w:t>
      </w:r>
      <w:r>
        <w:t xml:space="preserve"> </w:t>
      </w:r>
      <w:r>
        <w:t xml:space="preserve">that §793 applies to orally transmitted information, 445 F. Supp. 2d at 614-17, that its key terms are</w:t>
      </w:r>
      <w:r>
        <w:t xml:space="preserve"> </w:t>
      </w:r>
      <w:r>
        <w:t xml:space="preserve">not unconstitutionally vague as applied,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617-27, and that prosecuting persons who obtained</w:t>
      </w:r>
      <w:r>
        <w:t xml:space="preserve"> </w:t>
      </w:r>
      <w:r>
        <w:t xml:space="preserve">information from an official who breached a position of trust does not violate the First Amendment,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632-41. The court read the statute narrowly. Information</w:t>
      </w:r>
      <w:r>
        <w:t xml:space="preserve"> </w:t>
      </w:r>
      <w:r>
        <w:t xml:space="preserve">“</w:t>
      </w:r>
      <w:r>
        <w:t xml:space="preserve">relating to the national defense</w:t>
      </w:r>
      <w:r>
        <w:t xml:space="preserve">”</w:t>
      </w:r>
      <w:r>
        <w:t xml:space="preserve"> </w:t>
      </w:r>
      <w:r>
        <w:t xml:space="preserve">must be</w:t>
      </w:r>
      <w:r>
        <w:t xml:space="preserve"> </w:t>
      </w:r>
      <w:r>
        <w:t xml:space="preserve">closely held by the government, so public-domain information does not qualify,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620-21, and for</w:t>
      </w:r>
      <w:r>
        <w:t xml:space="preserve"> </w:t>
      </w:r>
      <w:r>
        <w:t xml:space="preserve">intangible information the</w:t>
      </w:r>
      <w:r>
        <w:t xml:space="preserve"> </w:t>
      </w:r>
      <w:r>
        <w:t xml:space="preserve">“</w:t>
      </w:r>
      <w:r>
        <w:t xml:space="preserve">reason to believe</w:t>
      </w:r>
      <w:r>
        <w:t xml:space="preserve">”</w:t>
      </w:r>
      <w:r>
        <w:t xml:space="preserve"> </w:t>
      </w:r>
      <w:r>
        <w:t xml:space="preserve">element</w:t>
      </w:r>
      <w:r>
        <w:t xml:space="preserve"> </w:t>
      </w:r>
      <w:r>
        <w:t xml:space="preserve">“</w:t>
      </w:r>
      <w:r>
        <w:t xml:space="preserve">requires the government to demonstrate the</w:t>
      </w:r>
      <w:r>
        <w:t xml:space="preserve"> </w:t>
      </w:r>
      <w:r>
        <w:t xml:space="preserve">likelihood of defendant’s bad faith purpose to either harm the United States or to aid a foreign</w:t>
      </w:r>
      <w:r>
        <w:t xml:space="preserve"> </w:t>
      </w:r>
      <w:r>
        <w:t xml:space="preserve">government,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626. The court also recognized that</w:t>
      </w:r>
      <w:r>
        <w:t xml:space="preserve"> </w:t>
      </w:r>
      <w:r>
        <w:t xml:space="preserve">“</w:t>
      </w:r>
      <w:r>
        <w:t xml:space="preserve">the government’s closely held assessment or</w:t>
      </w:r>
      <w:r>
        <w:t xml:space="preserve"> </w:t>
      </w:r>
      <w:r>
        <w:t xml:space="preserve">confirmation of certain public domain information</w:t>
      </w:r>
      <w:r>
        <w:t xml:space="preserve">”</w:t>
      </w:r>
      <w:r>
        <w:t xml:space="preserve"> </w:t>
      </w:r>
      <w:r>
        <w:t xml:space="preserve">can itself be national defense information.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</w:t>
      </w:r>
      <w:r>
        <w:t xml:space="preserve"> </w:t>
      </w:r>
      <w:r>
        <w:t xml:space="preserve">621. The prosecution was later dismissed. In a later case the same court refused to apply the bad-faith</w:t>
      </w:r>
      <w:r>
        <w:t xml:space="preserve"> </w:t>
      </w:r>
      <w:r>
        <w:t xml:space="preserve">requirement to a government employee trained in classification, so it is most useful to recipients outside</w:t>
      </w:r>
      <w:r>
        <w:t xml:space="preserve"> </w:t>
      </w:r>
      <w:r>
        <w:t xml:space="preserve">government, such as journalists and publishers.</w:t>
      </w:r>
      <w:r>
        <w:t xml:space="preserve"> </w:t>
      </w:r>
      <w:r>
        <w:rPr>
          <w:iCs/>
          <w:i/>
        </w:rPr>
        <w:t xml:space="preserve">United States v. Kiriakou</w:t>
      </w:r>
      <w:r>
        <w:t xml:space="preserve">, 898 F. Supp. 2d 921, 925-27 (E.D.</w:t>
      </w:r>
      <w:r>
        <w:t xml:space="preserve"> </w:t>
      </w:r>
      <w:r>
        <w:t xml:space="preserve">Va. 2012) (</w:t>
      </w:r>
      <w:hyperlink r:id="rId34">
        <w:r>
          <w:rPr>
            <w:rStyle w:val="Hyperlink"/>
          </w:rPr>
          <w:t xml:space="preserve">Issue C3</w:t>
        </w:r>
      </w:hyperlink>
      <w:r>
        <w:t xml:space="preserve">).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Application.</w:t>
      </w:r>
      <w:r>
        <w:t xml:space="preserve"> </w:t>
      </w:r>
      <w:r>
        <w:t xml:space="preserve">The last point matters for UAP. A cleared insider who confirms a publicly reported UAP</w:t>
      </w:r>
      <w:r>
        <w:t xml:space="preserve"> </w:t>
      </w:r>
      <w:r>
        <w:t xml:space="preserve">account, or a journalist who publishes that confirmation, may be dealing in the government’s closely</w:t>
      </w:r>
      <w:r>
        <w:t xml:space="preserve"> </w:t>
      </w:r>
      <w:r>
        <w:t xml:space="preserve">held</w:t>
      </w:r>
      <w:r>
        <w:t xml:space="preserve"> </w:t>
      </w:r>
      <w:r>
        <w:t xml:space="preserve">“</w:t>
      </w:r>
      <w:r>
        <w:t xml:space="preserve">confirmation</w:t>
      </w:r>
      <w:r>
        <w:t xml:space="preserve">”</w:t>
      </w:r>
      <w:r>
        <w:t xml:space="preserve"> </w:t>
      </w:r>
      <w:r>
        <w:t xml:space="preserve">even though the underlying story is public.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18 U.S.C. §798</w:t>
      </w:r>
      <w:r>
        <w:t xml:space="preserve"> </w:t>
      </w:r>
      <w:r>
        <w:t xml:space="preserve">criminalizes knowing and willful publication of classified communications</w:t>
      </w:r>
      <w:r>
        <w:t xml:space="preserve"> </w:t>
      </w:r>
      <w:r>
        <w:t xml:space="preserve">intelligence information, with no requirement of intent to injure. UAP material derived from signals</w:t>
      </w:r>
      <w:r>
        <w:t xml:space="preserve"> </w:t>
      </w:r>
      <w:r>
        <w:t xml:space="preserve">intelligence (as in</w:t>
      </w:r>
      <w:r>
        <w:t xml:space="preserve"> </w:t>
      </w:r>
      <w:r>
        <w:rPr>
          <w:iCs/>
          <w:i/>
        </w:rPr>
        <w:t xml:space="preserve">Citizens Against UFO Secrecy v. NSA</w:t>
      </w:r>
      <w:r>
        <w:t xml:space="preserve">) falls within it.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Assange (2024).</w:t>
      </w:r>
      <w:r>
        <w:t xml:space="preserve"> </w:t>
      </w:r>
      <w:r>
        <w:t xml:space="preserve">The plea to one count of conspiracy under §793 ended the case without a ruling on</w:t>
      </w:r>
      <w:r>
        <w:t xml:space="preserve"> </w:t>
      </w:r>
      <w:r>
        <w:t xml:space="preserve">the First Amendment questions. Press organizations have treated the charging theory as a warning.</w:t>
      </w:r>
    </w:p>
    <w:bookmarkEnd w:id="35"/>
    <w:bookmarkStart w:id="36" w:name="searches-subpoenas-and-sources"/>
    <w:p>
      <w:pPr>
        <w:pStyle w:val="Heading3"/>
      </w:pPr>
      <w:r>
        <w:t xml:space="preserve">3.3 Searches, subpoenas, and sources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Privacy Protection Act.</w:t>
      </w:r>
      <w:r>
        <w:t xml:space="preserve"> </w:t>
      </w:r>
      <w:r>
        <w:t xml:space="preserve">Federal, state, and local officers investigating a crime may not search for or seize a</w:t>
      </w:r>
      <w:r>
        <w:t xml:space="preserve"> </w:t>
      </w:r>
      <w:r>
        <w:t xml:space="preserve">publisher’s</w:t>
      </w:r>
      <w:r>
        <w:t xml:space="preserve"> </w:t>
      </w:r>
      <w:r>
        <w:t xml:space="preserve">“</w:t>
      </w:r>
      <w:r>
        <w:t xml:space="preserve">work product materials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documentary materials</w:t>
      </w:r>
      <w:r>
        <w:t xml:space="preserve">”</w:t>
      </w:r>
      <w:r>
        <w:t xml:space="preserve"> </w:t>
      </w:r>
      <w:r>
        <w:t xml:space="preserve">possessed by a person reasonably believed to have</w:t>
      </w:r>
      <w:r>
        <w:t xml:space="preserve"> </w:t>
      </w:r>
      <w:r>
        <w:t xml:space="preserve">a purpose to disseminate a newspaper, book, broadcast,</w:t>
      </w:r>
      <w:r>
        <w:t xml:space="preserve"> </w:t>
      </w:r>
      <w:r>
        <w:t xml:space="preserve">“</w:t>
      </w:r>
      <w:r>
        <w:t xml:space="preserve">or other similar form of public communication,</w:t>
      </w:r>
      <w:r>
        <w:t xml:space="preserve">”</w:t>
      </w:r>
      <w:r>
        <w:t xml:space="preserve"> </w:t>
      </w:r>
      <w:r>
        <w:t xml:space="preserve">except in</w:t>
      </w:r>
      <w:r>
        <w:t xml:space="preserve"> </w:t>
      </w:r>
      <w:r>
        <w:t xml:space="preserve">narrow cases, including where the possessor is suspected of the crime (42 U.S.C. §2000aa). A website that publishes</w:t>
      </w:r>
      <w:r>
        <w:t xml:space="preserve"> </w:t>
      </w:r>
      <w:r>
        <w:t xml:space="preserve">UAP reporting is covered. The suspect exception, however, expressly allows a search where the publisher is</w:t>
      </w:r>
      <w:r>
        <w:t xml:space="preserve"> </w:t>
      </w:r>
      <w:r>
        <w:t xml:space="preserve">suspected of receiving, possessing, or communicating national defense, classified, or restricted data information</w:t>
      </w:r>
      <w:r>
        <w:t xml:space="preserve"> </w:t>
      </w:r>
      <w:r>
        <w:t xml:space="preserve">in violation of 18 U.S.C. §§793, 794, 797, or 798 (§2000aa(a)(1)), so the Act gives little protection to a publisher</w:t>
      </w:r>
      <w:r>
        <w:t xml:space="preserve"> </w:t>
      </w:r>
      <w:r>
        <w:t xml:space="preserve">that holds classified UAP material.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DOJ news-media policy.</w:t>
      </w:r>
      <w:r>
        <w:t xml:space="preserve"> </w:t>
      </w:r>
      <w:r>
        <w:t xml:space="preserve">The Department’s rules on subpoenas, warrants, and other process directed at members</w:t>
      </w:r>
      <w:r>
        <w:t xml:space="preserve"> </w:t>
      </w:r>
      <w:r>
        <w:t xml:space="preserve">of the news media are at 28 C.F.R. §50.10, last revised May 2, 2025 (90 Fed. Reg. 18786). The revision withdrew</w:t>
      </w:r>
      <w:r>
        <w:t xml:space="preserve"> </w:t>
      </w:r>
      <w:r>
        <w:t xml:space="preserve">protections adopted in 2022, so leak investigations may again seek reporters’ records under the conditions the</w:t>
      </w:r>
      <w:r>
        <w:t xml:space="preserve"> </w:t>
      </w:r>
      <w:r>
        <w:t xml:space="preserve">rule sets.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No federal reporter’s privilege in criminal cases (Fourth Circuit).</w:t>
      </w:r>
      <w:r>
        <w:t xml:space="preserve"> </w:t>
      </w:r>
      <w:r>
        <w:t xml:space="preserve">The Fourth Circuit held that a journalist</w:t>
      </w:r>
      <w:r>
        <w:t xml:space="preserve"> </w:t>
      </w:r>
      <w:r>
        <w:t xml:space="preserve">had no First Amendment or common-law privilege to refuse to testify about his source at a leak trial.</w:t>
      </w:r>
      <w:r>
        <w:t xml:space="preserve"> </w:t>
      </w:r>
      <w:r>
        <w:rPr>
          <w:iCs/>
          <w:i/>
        </w:rPr>
        <w:t xml:space="preserve">United</w:t>
      </w:r>
      <w:r>
        <w:rPr>
          <w:iCs/>
          <w:i/>
        </w:rPr>
        <w:t xml:space="preserve"> </w:t>
      </w:r>
      <w:r>
        <w:rPr>
          <w:iCs/>
          <w:i/>
        </w:rPr>
        <w:t xml:space="preserve">States v. Sterling</w:t>
      </w:r>
      <w:r>
        <w:t xml:space="preserve">, 724 F.3d 482 (4th Cir. 2013).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California’s shield law</w:t>
      </w:r>
      <w:r>
        <w:t xml:space="preserve"> </w:t>
      </w:r>
      <w:r>
        <w:t xml:space="preserve">(Cal. Const. art. I, §2(b); Evid. Code §1070) protects a publisher, editor, reporter,</w:t>
      </w:r>
      <w:r>
        <w:t xml:space="preserve"> </w:t>
      </w:r>
      <w:r>
        <w:t xml:space="preserve">or other person connected with a newspaper or other periodical publication from contempt for refusing to disclose</w:t>
      </w:r>
      <w:r>
        <w:t xml:space="preserve"> </w:t>
      </w:r>
      <w:r>
        <w:t xml:space="preserve">a source or unpublished information. It is an immunity from contempt in California proceedings and does not</w:t>
      </w:r>
      <w:r>
        <w:t xml:space="preserve"> </w:t>
      </w:r>
      <w:r>
        <w:t xml:space="preserve">protect against federal process.</w:t>
      </w:r>
    </w:p>
    <w:bookmarkEnd w:id="36"/>
    <w:bookmarkStart w:id="40" w:name="X1fe516af8a4bb444ecf66c2d1a28c3ace5f5517"/>
    <w:p>
      <w:pPr>
        <w:pStyle w:val="Heading3"/>
      </w:pPr>
      <w:r>
        <w:t xml:space="preserve">3.4 Practical guidance for publishers and websites</w:t>
      </w:r>
    </w:p>
    <w:p>
      <w:pPr>
        <w:pStyle w:val="Compact"/>
        <w:numPr>
          <w:ilvl w:val="0"/>
          <w:numId w:val="1007"/>
        </w:numPr>
      </w:pPr>
      <w:r>
        <w:t xml:space="preserve">Do not solicit classified material.</w:t>
      </w:r>
    </w:p>
    <w:p>
      <w:pPr>
        <w:pStyle w:val="Compact"/>
        <w:numPr>
          <w:ilvl w:val="0"/>
          <w:numId w:val="1007"/>
        </w:numPr>
      </w:pPr>
      <w:r>
        <w:t xml:space="preserve">Treat documents bearing classification markings as potential §793 and §798 material. Consult counsel</w:t>
      </w:r>
      <w:r>
        <w:t xml:space="preserve"> </w:t>
      </w:r>
      <w:r>
        <w:t xml:space="preserve">before retaining, copying, or publishing them.</w:t>
      </w:r>
    </w:p>
    <w:p>
      <w:pPr>
        <w:pStyle w:val="Compact"/>
        <w:numPr>
          <w:ilvl w:val="0"/>
          <w:numId w:val="1007"/>
        </w:numPr>
      </w:pPr>
      <w:r>
        <w:t xml:space="preserve">Verify through official sources where possible; seek comment from the agency; consider redacting names,</w:t>
      </w:r>
      <w:r>
        <w:t xml:space="preserve"> </w:t>
      </w:r>
      <w:r>
        <w:t xml:space="preserve">locations, sensor details, and platform data that add little to the story.</w:t>
      </w:r>
    </w:p>
    <w:p>
      <w:pPr>
        <w:pStyle w:val="Compact"/>
        <w:numPr>
          <w:ilvl w:val="0"/>
          <w:numId w:val="1007"/>
        </w:numPr>
      </w:pPr>
      <w:r>
        <w:t xml:space="preserve">Record how material was received (to support a</w:t>
      </w:r>
      <w:r>
        <w:t xml:space="preserve"> </w:t>
      </w:r>
      <w:r>
        <w:rPr>
          <w:iCs/>
          <w:i/>
        </w:rPr>
        <w:t xml:space="preserve">Bartnicki</w:t>
      </w:r>
      <w:r>
        <w:t xml:space="preserve"> </w:t>
      </w:r>
      <w:r>
        <w:t xml:space="preserve">defense and to show lack of participation in</w:t>
      </w:r>
      <w:r>
        <w:t xml:space="preserve"> </w:t>
      </w:r>
      <w:r>
        <w:t xml:space="preserve">any unauthorized acquisition).</w:t>
      </w:r>
    </w:p>
    <w:p>
      <w:pPr>
        <w:pStyle w:val="Compact"/>
        <w:numPr>
          <w:ilvl w:val="0"/>
          <w:numId w:val="1007"/>
        </w:numPr>
      </w:pPr>
      <w:r>
        <w:t xml:space="preserve">Use</w:t>
      </w:r>
      <w:r>
        <w:t xml:space="preserve"> </w:t>
      </w:r>
      <w:hyperlink r:id="rId37">
        <w:r>
          <w:rPr>
            <w:rStyle w:val="Hyperlink"/>
          </w:rPr>
          <w:t xml:space="preserve">Form B4-2</w:t>
        </w:r>
      </w:hyperlink>
      <w:r>
        <w:t xml:space="preserve"> </w:t>
      </w:r>
      <w:r>
        <w:t xml:space="preserve">(newsroom protocol) and, for research institutions,</w:t>
      </w:r>
      <w:r>
        <w:t xml:space="preserve"> </w:t>
      </w:r>
      <w:hyperlink r:id="rId38">
        <w:r>
          <w:rPr>
            <w:rStyle w:val="Hyperlink"/>
          </w:rPr>
          <w:t xml:space="preserve">Form A5-2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Defamation risk from publishing allegations about named officials and contractors is addressed in</w:t>
      </w:r>
      <w:r>
        <w:t xml:space="preserve"> </w:t>
      </w:r>
      <w:hyperlink r:id="rId39">
        <w:r>
          <w:rPr>
            <w:rStyle w:val="Hyperlink"/>
          </w:rPr>
          <w:t xml:space="preserve">Issue G1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3" w:name="after-disclosure"/>
    <w:p>
      <w:pPr>
        <w:pStyle w:val="Heading2"/>
      </w:pPr>
      <w:r>
        <w:t xml:space="preserve">4. After disclosure</w:t>
      </w:r>
    </w:p>
    <w:p>
      <w:pPr>
        <w:pStyle w:val="FirstParagraph"/>
      </w:pPr>
      <w:r>
        <w:t xml:space="preserve">Declassification of UAP programs would narrow the scope of material subject to review and of §793</w:t>
      </w:r>
      <w:r>
        <w:t xml:space="preserve"> </w:t>
      </w:r>
      <w:r>
        <w:t xml:space="preserve">exposure. Until the government formally declassifies particular information, however, insiders remain</w:t>
      </w:r>
      <w:r>
        <w:t xml:space="preserve"> </w:t>
      </w:r>
      <w:r>
        <w:t xml:space="preserve">bound and publishers remain exposed, even if officials speak about the subject generally.</w:t>
      </w:r>
      <w:r>
        <w:t xml:space="preserve"> </w:t>
      </w:r>
      <w:r>
        <w:rPr>
          <w:iCs/>
          <w:i/>
        </w:rPr>
        <w:t xml:space="preserve">Leopold v.</w:t>
      </w:r>
      <w:r>
        <w:rPr>
          <w:iCs/>
          <w:i/>
        </w:rPr>
        <w:t xml:space="preserve"> </w:t>
      </w:r>
      <w:r>
        <w:rPr>
          <w:iCs/>
          <w:i/>
        </w:rPr>
        <w:t xml:space="preserve">CIA</w:t>
      </w:r>
      <w:r>
        <w:t xml:space="preserve">, 987 F.3d 163 (D.C. Cir. 2021), and</w:t>
      </w:r>
      <w:r>
        <w:t xml:space="preserve"> </w:t>
      </w:r>
      <w:r>
        <w:rPr>
          <w:iCs/>
          <w:i/>
        </w:rPr>
        <w:t xml:space="preserve">New York Times Co. v. CIA</w:t>
      </w:r>
      <w:r>
        <w:t xml:space="preserve">, 965 F.3d 109 (2d Cir. 2020), held</w:t>
      </w:r>
      <w:r>
        <w:t xml:space="preserve"> </w:t>
      </w:r>
      <w:r>
        <w:t xml:space="preserve">that informal presidential statements did not acknowledge or declassify the information at issue</w:t>
      </w:r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Issue B1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43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Publishing About UAP: Prepublication Review, Prior Restraint, and the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8" Type="http://schemas.openxmlformats.org/officeDocument/2006/relationships/hyperlink" Target="https://nhilaw.com/forms/a5-2.html" TargetMode="External"/><Relationship Id="rId21" Type="http://schemas.openxmlformats.org/officeDocument/2006/relationships/hyperlink" Target="https://nhilaw.com/forms/b4-1.html" TargetMode="External"/><Relationship Id="rId37" Type="http://schemas.openxmlformats.org/officeDocument/2006/relationships/hyperlink" Target="https://nhilaw.com/forms/b4-2.html" TargetMode="External"/><Relationship Id="rId26" Type="http://schemas.openxmlformats.org/officeDocument/2006/relationships/hyperlink" Target="https://nhilaw.com/issues/a3.html" TargetMode="External"/><Relationship Id="rId32" Type="http://schemas.openxmlformats.org/officeDocument/2006/relationships/hyperlink" Target="https://nhilaw.com/issues/a5.html" TargetMode="External"/><Relationship Id="rId42" Type="http://schemas.openxmlformats.org/officeDocument/2006/relationships/hyperlink" Target="https://nhilaw.com/issues/b1.html" TargetMode="External"/><Relationship Id="rId27" Type="http://schemas.openxmlformats.org/officeDocument/2006/relationships/hyperlink" Target="https://nhilaw.com/issues/c1.html" TargetMode="External"/><Relationship Id="rId34" Type="http://schemas.openxmlformats.org/officeDocument/2006/relationships/hyperlink" Target="https://nhilaw.com/issues/c3.html" TargetMode="External"/><Relationship Id="rId39" Type="http://schemas.openxmlformats.org/officeDocument/2006/relationships/hyperlink" Target="https://nhilaw.com/issues/g1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8" Type="http://schemas.openxmlformats.org/officeDocument/2006/relationships/hyperlink" Target="https://nhilaw.com/forms/a5-2.html" TargetMode="External"/><Relationship Id="rId21" Type="http://schemas.openxmlformats.org/officeDocument/2006/relationships/hyperlink" Target="https://nhilaw.com/forms/b4-1.html" TargetMode="External"/><Relationship Id="rId37" Type="http://schemas.openxmlformats.org/officeDocument/2006/relationships/hyperlink" Target="https://nhilaw.com/forms/b4-2.html" TargetMode="External"/><Relationship Id="rId26" Type="http://schemas.openxmlformats.org/officeDocument/2006/relationships/hyperlink" Target="https://nhilaw.com/issues/a3.html" TargetMode="External"/><Relationship Id="rId32" Type="http://schemas.openxmlformats.org/officeDocument/2006/relationships/hyperlink" Target="https://nhilaw.com/issues/a5.html" TargetMode="External"/><Relationship Id="rId42" Type="http://schemas.openxmlformats.org/officeDocument/2006/relationships/hyperlink" Target="https://nhilaw.com/issues/b1.html" TargetMode="External"/><Relationship Id="rId27" Type="http://schemas.openxmlformats.org/officeDocument/2006/relationships/hyperlink" Target="https://nhilaw.com/issues/c1.html" TargetMode="External"/><Relationship Id="rId34" Type="http://schemas.openxmlformats.org/officeDocument/2006/relationships/hyperlink" Target="https://nhilaw.com/issues/c3.html" TargetMode="External"/><Relationship Id="rId39" Type="http://schemas.openxmlformats.org/officeDocument/2006/relationships/hyperlink" Target="https://nhilaw.com/issues/g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Publishing About UAP: Prepublication Review, Prior Restraint, and the Espionage Act</dc:title>
  <dc:creator>nhilaw.com</dc:creator>
  <cp:keywords/>
  <dcterms:created xsi:type="dcterms:W3CDTF">2026-10-19T03:12:41Z</dcterms:created>
  <dcterms:modified xsi:type="dcterms:W3CDTF">2026-10-19T03:12:41Z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nhilaw.com/issues/b4.html</vt:lpwstr>
  </property>
</Properties>
</file>