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2" w:name="X4624df74c6e464a7bfbb3351033a5049f9c0a1b"/>
    <w:p>
      <w:pPr>
        <w:pStyle w:val="Heading1"/>
      </w:pPr>
      <w:r>
        <w:t xml:space="preserve">Form C1-1. Counsel’s Letter to AARO Requesting Confirmation of the §3373b Authorized Reporting Mechanism</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https://nhilaw.com/forms/c1-1.html</w:t>
      </w:r>
    </w:p>
    <w:p>
      <w:pPr>
        <w:pStyle w:val="BodyText"/>
        <w:spacing w:after="160" w:line="259" w:lineRule="auto"/>
      </w:pPr>
      <w:r>
        <w:rPr>
          <w:bCs/>
          <w:b/>
        </w:rPr>
        <w:t xml:space="preserve">Use.</w:t>
      </w:r>
      <w:r>
        <w:t xml:space="preserve"> </w:t>
      </w:r>
      <w:r>
        <w:t xml:space="preserve">Before a client discloses classified UAP information, counsel confirms in writing that the</w:t>
      </w:r>
      <w:r>
        <w:t xml:space="preserve"> </w:t>
      </w:r>
      <w:r>
        <w:t xml:space="preserve">intended recipient is the statutory</w:t>
      </w:r>
      <w:r>
        <w:t xml:space="preserve"> </w:t>
      </w:r>
      <w:r>
        <w:t xml:space="preserve">“</w:t>
      </w:r>
      <w:r>
        <w:t xml:space="preserve">mechanism for authorized reporting,</w:t>
      </w:r>
      <w:r>
        <w:t xml:space="preserve">”</w:t>
      </w:r>
      <w:r>
        <w:t xml:space="preserve"> </w:t>
      </w:r>
      <w:r>
        <w:t xml:space="preserve">obtains the published procedures,</w:t>
      </w:r>
      <w:r>
        <w:t xml:space="preserve"> </w:t>
      </w:r>
      <w:r>
        <w:t xml:space="preserve">and arranges a cleared session. The letter creates a record that the disclosure was made in reliance on 50</w:t>
      </w:r>
      <w:r>
        <w:t xml:space="preserve"> </w:t>
      </w:r>
      <w:r>
        <w:t xml:space="preserve">U.S.C. §3373b.</w:t>
      </w:r>
    </w:p>
    <w:p>
      <w:pPr>
        <w:pStyle w:val="BodyText"/>
        <w:spacing w:after="160" w:line="259" w:lineRule="auto"/>
      </w:pPr>
      <w:r>
        <w:rPr>
          <w:bCs/>
          <w:b/>
        </w:rPr>
        <w:t xml:space="preserve">On the site’s working premise.</w:t>
      </w:r>
      <w:r>
        <w:t xml:space="preserve"> </w:t>
      </w:r>
      <w:r>
        <w:t xml:space="preserve">The site assumes AARO is a deliberate source of disinformation and part of the</w:t>
      </w:r>
      <w:r>
        <w:t xml:space="preserve"> </w:t>
      </w:r>
      <w:r>
        <w:t xml:space="preserve">concealment (</w:t>
      </w:r>
      <w:hyperlink r:id="rId20">
        <w:r>
          <w:rPr>
            <w:rStyle w:val="Hyperlink"/>
          </w:rPr>
          <w:t xml:space="preserve">Issue C1</w:t>
        </w:r>
      </w:hyperlink>
      <w:r>
        <w:t xml:space="preserve"> </w:t>
      </w:r>
      <w:r>
        <w:t xml:space="preserve">§2). The letter still matters, because the §3373b(b) protection attaches by statute to an</w:t>
      </w:r>
      <w:r>
        <w:t xml:space="preserve"> </w:t>
      </w:r>
      <w:r>
        <w:t xml:space="preserve">authorized disclosure whatever AARO does with it. Use the letter to secure the protection, give AARO no more than the</w:t>
      </w:r>
      <w:r>
        <w:t xml:space="preserve"> </w:t>
      </w:r>
      <w:r>
        <w:t xml:space="preserve">protection requires, and make the substantive disclosure in parallel to an inspector general or the ICIG (see the</w:t>
      </w:r>
      <w:r>
        <w:t xml:space="preserve"> </w:t>
      </w:r>
      <w:r>
        <w:t xml:space="preserve">cc line and the follow-up letter below).</w:t>
      </w:r>
    </w:p>
    <w:p>
      <w:pPr>
        <w:pStyle w:val="BodyText"/>
        <w:spacing w:after="160" w:line="259" w:lineRule="auto"/>
      </w:pPr>
      <w:r>
        <w:rPr>
          <w:bCs/>
          <w:b/>
        </w:rPr>
        <w:t xml:space="preserve">When to use.</w:t>
      </w:r>
      <w:r>
        <w:t xml:space="preserve"> </w:t>
      </w:r>
      <w:r>
        <w:t xml:space="preserve">Before a client makes a disclosure through the AARO mechanism, to confirm the channel in writing.</w:t>
      </w:r>
      <w:r>
        <w:t xml:space="preserve"> </w:t>
      </w:r>
      <w:r>
        <w:rPr>
          <w:bCs/>
          <w:b/>
        </w:rPr>
        <w:t xml:space="preserve">Not for:</w:t>
      </w:r>
      <w:r>
        <w:t xml:space="preserve"> </w:t>
      </w:r>
      <w:r>
        <w:t xml:space="preserve">Disclosures to an inspector general or committee, which follow their own procedures.</w:t>
      </w:r>
    </w:p>
    <w:p>
      <w:pPr>
        <w:pStyle w:val="BodyText"/>
        <w:spacing w:after="160" w:line="259" w:lineRule="auto"/>
      </w:pPr>
      <w:r>
        <w:rPr>
          <w:bCs/>
          <w:b/>
        </w:rPr>
        <w:t xml:space="preserve">Deadlines.</w:t>
      </w:r>
      <w:r>
        <w:t xml:space="preserve"> </w:t>
      </w:r>
      <w:r>
        <w:t xml:space="preserve">Send before the disclosure. Follow up after 30 days without a response.</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[Counsel letterhead]</w:t>
      </w:r>
    </w:p>
    <w:p>
      <w:pPr>
        <w:pStyle w:val="BodyText"/>
      </w:pPr>
      <w:r>
        <w:t xml:space="preserve">[Date]</w:t>
      </w:r>
    </w:p>
    <w:p>
      <w:pPr>
        <w:pStyle w:val="BodyText"/>
      </w:pPr>
      <w:r>
        <w:t xml:space="preserve">Director</w:t>
      </w:r>
      <w:r>
        <w:br/>
      </w:r>
      <w:r>
        <w:t xml:space="preserve">All-domain Anomaly Resolution Office</w:t>
      </w:r>
      <w:r>
        <w:br/>
      </w:r>
      <w:r>
        <w:t xml:space="preserve">[Address / AARO secure contact as published]</w:t>
      </w:r>
    </w:p>
    <w:p>
      <w:pPr>
        <w:pStyle w:val="BodyText"/>
      </w:pPr>
      <w:r>
        <w:rPr>
          <w:bCs/>
          <w:b/>
        </w:rPr>
        <w:t xml:space="preserve">Re: Request to arrange an authorized disclosure under 50 U.S.C. §3373b on behalf of a client</w:t>
      </w:r>
    </w:p>
    <w:p>
      <w:pPr>
        <w:pStyle w:val="BodyText"/>
      </w:pPr>
      <w:r>
        <w:t xml:space="preserve">Dear Director:</w:t>
      </w:r>
    </w:p>
    <w:p>
      <w:pPr>
        <w:pStyle w:val="BodyText"/>
      </w:pPr>
      <w:r>
        <w:t xml:space="preserve">I represent an individual (the</w:t>
      </w:r>
      <w:r>
        <w:t xml:space="preserve"> </w:t>
      </w:r>
      <w:r>
        <w:t xml:space="preserve">“</w:t>
      </w:r>
      <w:r>
        <w:t xml:space="preserve">Client</w:t>
      </w:r>
      <w:r>
        <w:t xml:space="preserve">”</w:t>
      </w:r>
      <w:r>
        <w:t xml:space="preserve">) who [is a current / former] [employee of (agency) / service member /</w:t>
      </w:r>
      <w:r>
        <w:t xml:space="preserve"> </w:t>
      </w:r>
      <w:r>
        <w:t xml:space="preserve">employee of a contractor of (agency)] and who has information concerning [an event relating to</w:t>
      </w:r>
      <w:r>
        <w:t xml:space="preserve"> </w:t>
      </w:r>
      <w:r>
        <w:t xml:space="preserve">unidentified anomalous phenomena / an activity or program relating to unidentified anomalous phenomena]</w:t>
      </w:r>
      <w:r>
        <w:t xml:space="preserve"> </w:t>
      </w:r>
      <w:r>
        <w:t xml:space="preserve">within the meaning of 50 U.S.C. §3373b(a)(1). The Client wishes to make an authorized disclosure through the</w:t>
      </w:r>
      <w:r>
        <w:t xml:space="preserve"> </w:t>
      </w:r>
      <w:r>
        <w:t xml:space="preserve">mechanism established under that section.</w:t>
      </w:r>
    </w:p>
    <w:p>
      <w:pPr>
        <w:pStyle w:val="BodyText"/>
      </w:pPr>
      <w:r>
        <w:t xml:space="preserve">To ensure that the disclosure is made through the statutory mechanism and receives the protections of</w:t>
      </w:r>
      <w:r>
        <w:t xml:space="preserve"> </w:t>
      </w:r>
      <w:r>
        <w:t xml:space="preserve">§3373b(b), I request that AARO:</w:t>
      </w:r>
    </w:p>
    <w:p>
      <w:pPr>
        <w:pStyle w:val="Compact"/>
        <w:numPr>
          <w:ilvl w:val="0"/>
          <w:numId w:val="1001"/>
        </w:numPr>
      </w:pPr>
      <w:r>
        <w:t xml:space="preserve">confirm the specific office, personnel, and procedures that constitute the</w:t>
      </w:r>
      <w:r>
        <w:t xml:space="preserve"> </w:t>
      </w:r>
      <w:r>
        <w:t xml:space="preserve">“</w:t>
      </w:r>
      <w:r>
        <w:t xml:space="preserve">mechanism for authorized</w:t>
      </w:r>
      <w:r>
        <w:t xml:space="preserve"> </w:t>
      </w:r>
      <w:r>
        <w:t xml:space="preserve">reporting</w:t>
      </w:r>
      <w:r>
        <w:t xml:space="preserve">”</w:t>
      </w:r>
      <w:r>
        <w:t xml:space="preserve"> </w:t>
      </w:r>
      <w:r>
        <w:t xml:space="preserve">under §3373b(a)(1), and provide a copy of the public guidance issued under §3373b(a)(5)(B);</w:t>
      </w:r>
    </w:p>
    <w:p>
      <w:pPr>
        <w:pStyle w:val="Compact"/>
        <w:numPr>
          <w:ilvl w:val="0"/>
          <w:numId w:val="1001"/>
        </w:numPr>
      </w:pPr>
      <w:r>
        <w:t xml:space="preserve">arrange a meeting in an appropriate secure facility with designated, appropriately cleared personnel</w:t>
      </w:r>
      <w:r>
        <w:t xml:space="preserve"> </w:t>
      </w:r>
      <w:r>
        <w:t xml:space="preserve">(§3373b(a)(3)), at which the Client may make the disclosure, [with counsel present / with counsel present</w:t>
      </w:r>
      <w:r>
        <w:t xml:space="preserve"> </w:t>
      </w:r>
      <w:r>
        <w:t xml:space="preserve">for the unclassified portion, counsel not holding a clearance];</w:t>
      </w:r>
    </w:p>
    <w:p>
      <w:pPr>
        <w:pStyle w:val="Compact"/>
        <w:numPr>
          <w:ilvl w:val="0"/>
          <w:numId w:val="1001"/>
        </w:numPr>
      </w:pPr>
      <w:r>
        <w:t xml:space="preserve">confirm in writing, at or after the meeting, the date and the fact that the Client made an authorized</w:t>
      </w:r>
      <w:r>
        <w:t xml:space="preserve"> </w:t>
      </w:r>
      <w:r>
        <w:t xml:space="preserve">disclosure through the mechanism;</w:t>
      </w:r>
    </w:p>
    <w:p>
      <w:pPr>
        <w:pStyle w:val="Compact"/>
        <w:numPr>
          <w:ilvl w:val="0"/>
          <w:numId w:val="1001"/>
        </w:numPr>
      </w:pPr>
      <w:r>
        <w:t xml:space="preserve">provide the procedures established under §3373b(b)(2)(B) for enforcing the prohibition on reprisals,</w:t>
      </w:r>
      <w:r>
        <w:t xml:space="preserve"> </w:t>
      </w:r>
      <w:r>
        <w:t xml:space="preserve">and identify the office to which the Client should report any reprisal; and</w:t>
      </w:r>
    </w:p>
    <w:p>
      <w:pPr>
        <w:pStyle w:val="Compact"/>
        <w:numPr>
          <w:ilvl w:val="0"/>
          <w:numId w:val="1001"/>
        </w:numPr>
      </w:pPr>
      <w:r>
        <w:t xml:space="preserve">state whether AARO will refer the disclosure to the PURSUE team or to the congressional committees under</w:t>
      </w:r>
      <w:r>
        <w:t xml:space="preserve"> </w:t>
      </w:r>
      <w:r>
        <w:t xml:space="preserve">§3373b(a)(4)(B), so that the Client is aware of where the information will go.</w:t>
      </w:r>
    </w:p>
    <w:p>
      <w:pPr>
        <w:pStyle w:val="FirstParagraph"/>
      </w:pPr>
      <w:r>
        <w:t xml:space="preserve">The Client is also [a current or former Department of War employee, service member, or contractor with</w:t>
      </w:r>
      <w:r>
        <w:t xml:space="preserve"> </w:t>
      </w:r>
      <w:r>
        <w:t xml:space="preserve">access to UAP-related national defense information and therefore within the Department’s September 14,</w:t>
      </w:r>
      <w:r>
        <w:t xml:space="preserve"> </w:t>
      </w:r>
      <w:r>
        <w:t xml:space="preserve">2026 PURSUE waiver]. Please advise whether the Client’s disclosure to AARO will also be treated as a</w:t>
      </w:r>
      <w:r>
        <w:t xml:space="preserve"> </w:t>
      </w:r>
      <w:r>
        <w:t xml:space="preserve">communication to PURSUE, or whether a separate communication is required.</w:t>
      </w:r>
    </w:p>
    <w:p>
      <w:pPr>
        <w:pStyle w:val="BodyText"/>
      </w:pPr>
      <w:r>
        <w:t xml:space="preserve">The Client relies on §3373b(b)(1), under which an authorized disclosure</w:t>
      </w:r>
      <w:r>
        <w:t xml:space="preserve"> </w:t>
      </w:r>
      <w:r>
        <w:t xml:space="preserve">“</w:t>
      </w:r>
      <w:r>
        <w:t xml:space="preserve">shall not be subject to a</w:t>
      </w:r>
      <w:r>
        <w:t xml:space="preserve"> </w:t>
      </w:r>
      <w:r>
        <w:t xml:space="preserve">nondisclosure agreement,</w:t>
      </w:r>
      <w:r>
        <w:t xml:space="preserve">”</w:t>
      </w:r>
      <w:r>
        <w:t xml:space="preserve"> </w:t>
      </w:r>
      <w:r>
        <w:t xml:space="preserve">is deemed to comply with orders and regulations under Executive Order 13526 and</w:t>
      </w:r>
      <w:r>
        <w:t xml:space="preserve"> </w:t>
      </w:r>
      <w:r>
        <w:t xml:space="preserve">chapter 18 of the Atomic Energy Act, and</w:t>
      </w:r>
      <w:r>
        <w:t xml:space="preserve"> </w:t>
      </w:r>
      <w:r>
        <w:t xml:space="preserve">“</w:t>
      </w:r>
      <w:r>
        <w:t xml:space="preserve">is not a violation of section 798 of title 18, or other provision</w:t>
      </w:r>
      <w:r>
        <w:t xml:space="preserve"> </w:t>
      </w:r>
      <w:r>
        <w:t xml:space="preserve">of law relating to the disclosure of information.</w:t>
      </w:r>
      <w:r>
        <w:t xml:space="preserve">”</w:t>
      </w:r>
    </w:p>
    <w:p>
      <w:pPr>
        <w:pStyle w:val="BodyText"/>
      </w:pPr>
      <w:r>
        <w:t xml:space="preserve">Please contact me at [phone/email] to arrange the meeting. I ask that communications about scheduling be</w:t>
      </w:r>
      <w:r>
        <w:t xml:space="preserve"> </w:t>
      </w:r>
      <w:r>
        <w:t xml:space="preserve">directed to me.</w:t>
      </w:r>
    </w:p>
    <w:p>
      <w:pPr>
        <w:pStyle w:val="BodyText"/>
      </w:pPr>
      <w:r>
        <w:t xml:space="preserve">Sincerely,</w:t>
      </w:r>
      <w:r>
        <w:br/>
      </w:r>
      <w:r>
        <w:t xml:space="preserve">[Name, bar admission, clearance status]</w:t>
      </w:r>
    </w:p>
    <w:p>
      <w:pPr>
        <w:pStyle w:val="BodyText"/>
      </w:pPr>
      <w:r>
        <w:t xml:space="preserve">cc: [Client’s agency Inspector General / DoD Inspector General / Inspector General of the Intelligence Community]</w:t>
      </w:r>
    </w:p>
    <w:p>
      <w:pPr>
        <w:pStyle w:val="BodyText"/>
      </w:pPr>
      <w:r>
        <w:br w:type="page"/>
      </w:r>
    </w:p>
    <w:p>
      <w:pPr>
        <w:pStyle w:val="BodyText"/>
      </w:pPr>
      <w:r>
        <w:rPr>
          <w:bCs/>
          <w:b/>
        </w:rPr>
        <w:t xml:space="preserve">Follow-up letter (if AARO does not respond within 30 days, or after the disclosure)</w:t>
      </w:r>
    </w:p>
    <w:p>
      <w:pPr>
        <w:pStyle w:val="BodyText"/>
      </w:pPr>
      <w:r>
        <w:t xml:space="preserve">[Counsel letterhead] [Date]</w:t>
      </w:r>
    </w:p>
    <w:p>
      <w:pPr>
        <w:pStyle w:val="BodyText"/>
      </w:pPr>
      <w:r>
        <w:t xml:space="preserve">Director, All-domain Anomaly Resolution Office</w:t>
      </w:r>
    </w:p>
    <w:p>
      <w:pPr>
        <w:pStyle w:val="BodyText"/>
      </w:pPr>
      <w:r>
        <w:rPr>
          <w:bCs/>
          <w:b/>
        </w:rPr>
        <w:t xml:space="preserve">Re: Follow-up to my letter of [date] concerning an authorized disclosure under 50 U.S.C. §3373b</w:t>
      </w:r>
    </w:p>
    <w:p>
      <w:pPr>
        <w:pStyle w:val="BodyText"/>
      </w:pPr>
      <w:r>
        <w:t xml:space="preserve">Dear Director:</w:t>
      </w:r>
    </w:p>
    <w:p>
      <w:pPr>
        <w:pStyle w:val="BodyText"/>
      </w:pPr>
      <w:r>
        <w:t xml:space="preserve">On [date] I asked AARO to confirm the authorized reporting mechanism and to arrange a disclosure by my client. [I</w:t>
      </w:r>
      <w:r>
        <w:br/>
      </w:r>
      <w:r>
        <w:t xml:space="preserve">have received no response. / My client made the disclosure on [date] at [place]; I have received no written</w:t>
      </w:r>
      <w:r>
        <w:br/>
      </w:r>
      <w:r>
        <w:t xml:space="preserve">confirmation.] Please provide within 14 days:</w:t>
      </w:r>
    </w:p>
    <w:p>
      <w:pPr>
        <w:pStyle w:val="Compact"/>
        <w:numPr>
          <w:ilvl w:val="0"/>
          <w:numId w:val="1002"/>
        </w:numPr>
      </w:pPr>
      <w:r>
        <w:t xml:space="preserve">written confirmation of the mechanism and procedures requested in my earlier letter [or: written confirmation</w:t>
      </w:r>
      <w:r>
        <w:br/>
      </w:r>
      <w:r>
        <w:t xml:space="preserve">that my client made an authorized disclosure on [date]];</w:t>
      </w:r>
      <w:r>
        <w:br/>
      </w:r>
    </w:p>
    <w:p>
      <w:pPr>
        <w:pStyle w:val="Compact"/>
        <w:numPr>
          <w:ilvl w:val="0"/>
          <w:numId w:val="1002"/>
        </w:numPr>
      </w:pPr>
      <w:r>
        <w:t xml:space="preserve">if the disclosure concerned a program not previously reported to Congress, confirmation of the date on which</w:t>
      </w:r>
      <w:r>
        <w:br/>
      </w:r>
      <w:r>
        <w:t xml:space="preserve">AARO provided the notification that §3373b(a)(4)(B) requires within 72 hours; and</w:t>
      </w:r>
      <w:r>
        <w:br/>
      </w:r>
    </w:p>
    <w:p>
      <w:pPr>
        <w:pStyle w:val="Compact"/>
        <w:numPr>
          <w:ilvl w:val="0"/>
          <w:numId w:val="1002"/>
        </w:numPr>
      </w:pPr>
      <w:r>
        <w:t xml:space="preserve">the name of the office to which my client should report any reprisal.</w:t>
      </w:r>
    </w:p>
    <w:p>
      <w:pPr>
        <w:pStyle w:val="FirstParagraph"/>
      </w:pPr>
      <w:r>
        <w:t xml:space="preserve">My client has also provided the information to [inspector general] and reserves all rights under §3373b(b)(2) and</w:t>
      </w:r>
      <w:r>
        <w:br/>
      </w:r>
      <w:r>
        <w:t xml:space="preserve">other law. I am sending a copy of this letter to that office and to [the congressional defense and intelligence</w:t>
      </w:r>
      <w:r>
        <w:br/>
      </w:r>
      <w:r>
        <w:t xml:space="preserve">committees, through their designated staff].</w:t>
      </w:r>
    </w:p>
    <w:p>
      <w:pPr>
        <w:pStyle w:val="BodyText"/>
      </w:pPr>
      <w:r>
        <w:t xml:space="preserve">Sincerely,</w:t>
      </w:r>
      <w:r>
        <w:br/>
      </w:r>
      <w:r>
        <w:t xml:space="preserve">[Name]</w:t>
      </w:r>
    </w:p>
    <w:p>
      <w:pPr>
        <w:pStyle w:val="BodyText"/>
      </w:pPr>
      <w:r>
        <w:t xml:space="preserve">cc: [Inspector General]; [Committee designated contacts]</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1" w:name="drafting-notes"/>
    <w:p>
      <w:pPr>
        <w:pStyle w:val="Heading2"/>
      </w:pPr>
      <w:r>
        <w:t xml:space="preserve">Drafting notes</w:t>
      </w:r>
    </w:p>
    <w:p>
      <w:pPr>
        <w:pStyle w:val="Compact"/>
        <w:numPr>
          <w:ilvl w:val="0"/>
          <w:numId w:val="1003"/>
        </w:numPr>
      </w:pPr>
      <w:r>
        <w:rPr>
          <w:bCs/>
          <w:b/>
        </w:rPr>
        <w:t xml:space="preserve">Records.</w:t>
      </w:r>
      <w:r>
        <w:t xml:space="preserve"> </w:t>
      </w:r>
      <w:r>
        <w:t xml:space="preserve">Keep the original letter, proof of delivery, and any reply in the client file. If AARO does not</w:t>
      </w:r>
      <w:r>
        <w:t xml:space="preserve"> </w:t>
      </w:r>
      <w:r>
        <w:t xml:space="preserve">answer, the follow-up letter and the parallel IG filing still show that the client sought to use the statutory</w:t>
      </w:r>
      <w:r>
        <w:t xml:space="preserve"> </w:t>
      </w:r>
      <w:r>
        <w:t xml:space="preserve">channel, which is the best answer to a later claim that the disclosure was unauthorized.</w:t>
      </w:r>
    </w:p>
    <w:p>
      <w:pPr>
        <w:pStyle w:val="Compact"/>
        <w:numPr>
          <w:ilvl w:val="0"/>
          <w:numId w:val="1003"/>
        </w:numPr>
      </w:pPr>
      <w:r>
        <w:rPr>
          <w:bCs/>
          <w:b/>
        </w:rPr>
        <w:t xml:space="preserve">Do not include substance.</w:t>
      </w:r>
      <w:r>
        <w:t xml:space="preserve"> </w:t>
      </w:r>
      <w:r>
        <w:t xml:space="preserve">Neither letter should describe the program beyond the unclassified category in</w:t>
      </w:r>
      <w:r>
        <w:t xml:space="preserve"> </w:t>
      </w:r>
      <w:r>
        <w:t xml:space="preserve">§3373b(a)(1).</w:t>
      </w:r>
    </w:p>
    <w:p>
      <w:pPr>
        <w:pStyle w:val="Compact"/>
        <w:numPr>
          <w:ilvl w:val="0"/>
          <w:numId w:val="1003"/>
        </w:numPr>
      </w:pPr>
      <w:r>
        <w:rPr>
          <w:bCs/>
          <w:b/>
        </w:rPr>
        <w:t xml:space="preserve">Committees.</w:t>
      </w:r>
      <w:r>
        <w:t xml:space="preserve"> </w:t>
      </w:r>
      <w:r>
        <w:t xml:space="preserve">A member’s office on the defense or intelligence committees can ask AARO whether the 72-hour</w:t>
      </w:r>
      <w:r>
        <w:t xml:space="preserve"> </w:t>
      </w:r>
      <w:r>
        <w:t xml:space="preserve">notification was sent. Contact only designated committee staff, and never with classified information outside</w:t>
      </w:r>
      <w:r>
        <w:t xml:space="preserve"> </w:t>
      </w:r>
      <w:r>
        <w:t xml:space="preserve">the committees’ procedures.</w:t>
      </w:r>
    </w:p>
    <w:p>
      <w:pPr>
        <w:pStyle w:val="Compact"/>
        <w:numPr>
          <w:ilvl w:val="0"/>
          <w:numId w:val="1003"/>
        </w:numPr>
      </w:pPr>
      <w:r>
        <w:t xml:space="preserve">Related:</w:t>
      </w:r>
      <w:r>
        <w:t xml:space="preserve"> </w:t>
      </w:r>
      <w:hyperlink r:id="rId20">
        <w:r>
          <w:rPr>
            <w:rStyle w:val="Hyperlink"/>
          </w:rPr>
          <w:t xml:space="preserve">Issue C1</w:t>
        </w:r>
      </w:hyperlink>
      <w:r>
        <w:t xml:space="preserve">, C3, C4; Forms C1-2, C3-1.</w:t>
      </w:r>
    </w:p>
    <w:bookmarkEnd w:id="21"/>
    <w:bookmarkEnd w:id="22"/>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issues/c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issues/c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C1-1. Counsel's Letter to AARO Requesting Confirmation of the §3373b Authorized Reporting Mechanism</dc:title>
  <dc:creator>nhilaw.com</dc:creator>
  <cp:keywords/>
  <dcterms:created xsi:type="dcterms:W3CDTF">2026-10-19T03:12:52Z</dcterms:created>
  <dcterms:modified xsi:type="dcterms:W3CDTF">2026-10-19T03:12:52Z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