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e8eda9020b89107c2e98dae9fc51de12078eebe"/>
    <w:p>
      <w:pPr>
        <w:pStyle w:val="Heading1"/>
      </w:pPr>
      <w:r>
        <w:t xml:space="preserve">Form C1-2. Whistleblower Reprisal Complaint Following a UAP Disclosure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https://nhilaw.com/forms/c1-2.html</w:t>
      </w:r>
    </w:p>
    <w:tbl>
      <w:tblPr>
        <w:tblStyle w:val="Table"/>
        <w:tblW w:type="pct" w:w="5000"/>
        <w:jc w:val="start"/>
        <w:tblLook w:firstRow="1" w:lastRow="0" w:firstColumn="0" w:lastColumn="0" w:noHBand="0" w:noVBand="0" w:val="0020"/>
      </w:tblPr>
      <w:tblGrid>
        <w:gridCol w:w="1980"/>
        <w:gridCol w:w="1980"/>
        <w:gridCol w:w="1980"/>
        <w:gridCol w:w="1980"/>
      </w:tblGrid>
      <w:tr>
        <w:trPr>
          <w:tblHeader w:val="true"/>
        </w:trPr>
        <w:tc>
          <w:tcPr/>
          <w:p>
            <w:pPr>
              <w:pStyle w:val="Compact"/>
              <w:spacing w:after="160" w:line="259" w:lineRule="auto"/>
              <w:jc w:val="left"/>
            </w:pPr>
            <w:r>
              <w:t xml:space="preserve">Complainant</w:t>
            </w:r>
          </w:p>
        </w:tc>
        <w:tc>
          <w:tcPr/>
          <w:p>
            <w:pPr>
              <w:pStyle w:val="Compact"/>
              <w:spacing w:after="160" w:line="259" w:lineRule="auto"/>
              <w:jc w:val="left"/>
            </w:pPr>
            <w:r>
              <w:t xml:space="preserve">File with</w:t>
            </w:r>
          </w:p>
        </w:tc>
        <w:tc>
          <w:tcPr/>
          <w:p>
            <w:pPr>
              <w:pStyle w:val="Compact"/>
              <w:spacing w:after="160" w:line="259" w:lineRule="auto"/>
              <w:jc w:val="left"/>
            </w:pPr>
            <w:r>
              <w:t xml:space="preserve">Authority</w:t>
            </w:r>
          </w:p>
        </w:tc>
        <w:tc>
          <w:tcPr/>
          <w:p>
            <w:pPr>
              <w:pStyle w:val="Compact"/>
              <w:spacing w:after="160" w:line="259" w:lineRule="auto"/>
              <w:jc w:val="left"/>
            </w:pPr>
            <w:r>
              <w:t xml:space="preserve">Deadlines</w:t>
            </w:r>
          </w:p>
        </w:tc>
      </w:tr>
      <w:tr>
        <w:tc>
          <w:tcPr/>
          <w:p>
            <w:pPr>
              <w:pStyle w:val="Compact"/>
              <w:spacing w:after="160" w:line="259" w:lineRule="auto"/>
              <w:jc w:val="left"/>
            </w:pPr>
            <w:r>
              <w:t xml:space="preserve">IC employee (clearance or personnel action)</w:t>
            </w:r>
          </w:p>
        </w:tc>
        <w:tc>
          <w:tcPr/>
          <w:p>
            <w:pPr>
              <w:pStyle w:val="Compact"/>
              <w:spacing w:after="160" w:line="259" w:lineRule="auto"/>
              <w:jc w:val="left"/>
            </w:pPr>
            <w:r>
              <w:t xml:space="preserve">Employing agency IG, then ICIG External Review Panel</w:t>
            </w:r>
          </w:p>
        </w:tc>
        <w:tc>
          <w:tcPr/>
          <w:p>
            <w:pPr>
              <w:pStyle w:val="Compact"/>
              <w:spacing w:after="160" w:line="259" w:lineRule="auto"/>
              <w:jc w:val="left"/>
            </w:pPr>
            <w:r>
              <w:t xml:space="preserve">50 U.S.C. §§3234, 3341(j); PPD-19; 50 U.S.C. §3373b(b)(2)</w:t>
            </w:r>
          </w:p>
        </w:tc>
        <w:tc>
          <w:tcPr/>
          <w:p>
            <w:pPr>
              <w:pStyle w:val="Compact"/>
              <w:spacing w:after="160" w:line="259" w:lineRule="auto"/>
              <w:jc w:val="left"/>
            </w:pPr>
            <w:r>
              <w:t xml:space="preserve">Clearance action: agency appeal within 90 days of notice; DNI appeal within 60 days of the final agency decision (§3341(j)). Personnel action: agency and ICIG procedures</w:t>
            </w:r>
          </w:p>
        </w:tc>
      </w:tr>
      <w:tr>
        <w:tc>
          <w:tcPr/>
          <w:p>
            <w:pPr>
              <w:pStyle w:val="Compact"/>
              <w:spacing w:after="160" w:line="259" w:lineRule="auto"/>
              <w:jc w:val="left"/>
            </w:pPr>
            <w:r>
              <w:t xml:space="preserve">Service member</w:t>
            </w:r>
          </w:p>
        </w:tc>
        <w:tc>
          <w:tcPr/>
          <w:p>
            <w:pPr>
              <w:pStyle w:val="Compact"/>
              <w:spacing w:after="160" w:line="259" w:lineRule="auto"/>
              <w:jc w:val="left"/>
            </w:pPr>
            <w:r>
              <w:t xml:space="preserve">DoD IG or service IG</w:t>
            </w:r>
          </w:p>
        </w:tc>
        <w:tc>
          <w:tcPr/>
          <w:p>
            <w:pPr>
              <w:pStyle w:val="Compact"/>
              <w:spacing w:after="160" w:line="259" w:lineRule="auto"/>
              <w:jc w:val="left"/>
            </w:pPr>
            <w:r>
              <w:t xml:space="preserve">10 U.S.C. §1034; §3373b(b)(2)</w:t>
            </w:r>
          </w:p>
        </w:tc>
        <w:tc>
          <w:tcPr/>
          <w:p>
            <w:pPr>
              <w:pStyle w:val="Compact"/>
              <w:spacing w:after="160" w:line="259" w:lineRule="auto"/>
              <w:jc w:val="left"/>
            </w:pPr>
            <w:r>
              <w:t xml:space="preserve">IG need not investigate a complaint made more than one year after the member learned of the action (§1034(c)(5))</w:t>
            </w:r>
          </w:p>
        </w:tc>
      </w:tr>
      <w:tr>
        <w:tc>
          <w:tcPr/>
          <w:p>
            <w:pPr>
              <w:pStyle w:val="Compact"/>
              <w:spacing w:after="160" w:line="259" w:lineRule="auto"/>
              <w:jc w:val="left"/>
            </w:pPr>
            <w:r>
              <w:t xml:space="preserve">Federal civilian (non-IC)</w:t>
            </w:r>
          </w:p>
        </w:tc>
        <w:tc>
          <w:tcPr/>
          <w:p>
            <w:pPr>
              <w:pStyle w:val="Compact"/>
              <w:spacing w:after="160" w:line="259" w:lineRule="auto"/>
              <w:jc w:val="left"/>
            </w:pPr>
            <w:r>
              <w:t xml:space="preserve">Office of Special Counsel (then MSPB IRA appeal)</w:t>
            </w:r>
          </w:p>
        </w:tc>
        <w:tc>
          <w:tcPr/>
          <w:p>
            <w:pPr>
              <w:pStyle w:val="Compact"/>
              <w:spacing w:after="160" w:line="259" w:lineRule="auto"/>
              <w:jc w:val="left"/>
            </w:pPr>
            <w:r>
              <w:t xml:space="preserve">5 U.S.C. §§1214, 1221, 2302(b)(8)-(9); §3373b(b)(2)</w:t>
            </w:r>
          </w:p>
        </w:tc>
        <w:tc>
          <w:tcPr/>
          <w:p>
            <w:pPr>
              <w:pStyle w:val="Compact"/>
              <w:spacing w:after="160" w:line="259" w:lineRule="auto"/>
              <w:jc w:val="left"/>
            </w:pPr>
            <w:r>
              <w:t xml:space="preserve">MSPB IRA appeal within 65 days after OSC’s closure letter, or after 120 days with no OSC decision (5 C.F.R. §1209.5)</w:t>
            </w:r>
          </w:p>
        </w:tc>
      </w:tr>
      <w:tr>
        <w:tc>
          <w:tcPr/>
          <w:p>
            <w:pPr>
              <w:pStyle w:val="Compact"/>
              <w:spacing w:after="160" w:line="259" w:lineRule="auto"/>
              <w:jc w:val="left"/>
            </w:pPr>
            <w:r>
              <w:t xml:space="preserve">DoD/NASA/Coast Guard contractor employee</w:t>
            </w:r>
          </w:p>
        </w:tc>
        <w:tc>
          <w:tcPr/>
          <w:p>
            <w:pPr>
              <w:pStyle w:val="Compact"/>
              <w:spacing w:after="160" w:line="259" w:lineRule="auto"/>
              <w:jc w:val="left"/>
            </w:pPr>
            <w:r>
              <w:t xml:space="preserve">DoD IG (or NASA IG)</w:t>
            </w:r>
          </w:p>
        </w:tc>
        <w:tc>
          <w:tcPr/>
          <w:p>
            <w:pPr>
              <w:pStyle w:val="Compact"/>
              <w:spacing w:after="160" w:line="259" w:lineRule="auto"/>
              <w:jc w:val="left"/>
            </w:pPr>
            <w:r>
              <w:t xml:space="preserve">10 U.S.C. §4701; §3373b(b)(2)</w:t>
            </w:r>
          </w:p>
        </w:tc>
        <w:tc>
          <w:tcPr/>
          <w:p>
            <w:pPr>
              <w:pStyle w:val="Compact"/>
              <w:spacing w:after="160" w:line="259" w:lineRule="auto"/>
              <w:jc w:val="left"/>
            </w:pPr>
            <w:r>
              <w:t xml:space="preserve">Complaint within 3 years of the reprisal; district court action after 210 days without relief, filed within 2 years after exhaustion</w:t>
            </w:r>
          </w:p>
        </w:tc>
      </w:tr>
      <w:tr>
        <w:tc>
          <w:tcPr/>
          <w:p>
            <w:pPr>
              <w:pStyle w:val="Compact"/>
              <w:spacing w:after="160" w:line="259" w:lineRule="auto"/>
              <w:jc w:val="left"/>
            </w:pPr>
            <w:r>
              <w:t xml:space="preserve">Civilian-agency contractor employee</w:t>
            </w:r>
          </w:p>
        </w:tc>
        <w:tc>
          <w:tcPr/>
          <w:p>
            <w:pPr>
              <w:pStyle w:val="Compact"/>
              <w:spacing w:after="160" w:line="259" w:lineRule="auto"/>
              <w:jc w:val="left"/>
            </w:pPr>
            <w:r>
              <w:t xml:space="preserve">Agency IG</w:t>
            </w:r>
          </w:p>
        </w:tc>
        <w:tc>
          <w:tcPr/>
          <w:p>
            <w:pPr>
              <w:pStyle w:val="Compact"/>
              <w:spacing w:after="160" w:line="259" w:lineRule="auto"/>
              <w:jc w:val="left"/>
            </w:pPr>
            <w:r>
              <w:t xml:space="preserve">41 U.S.C. §4712 (not for IC matters); §3373b(b)(2)</w:t>
            </w:r>
          </w:p>
        </w:tc>
        <w:tc>
          <w:tcPr/>
          <w:p>
            <w:pPr>
              <w:pStyle w:val="Compact"/>
              <w:spacing w:after="160" w:line="259" w:lineRule="auto"/>
              <w:jc w:val="left"/>
            </w:pPr>
            <w:r>
              <w:t xml:space="preserve">Complaint within 3 years of the reprisal; district court action after 210 days without relief, filed within 2 years after exhaustion</w:t>
            </w:r>
          </w:p>
        </w:tc>
      </w:tr>
    </w:tbl>
    <w:p>
      <w:pPr>
        <w:pStyle w:val="BodyText"/>
        <w:spacing w:after="160" w:line="259" w:lineRule="auto"/>
      </w:pPr>
      <w:r>
        <w:t xml:space="preserve">Calendar the earliest deadline that could apply the day the adverse action is known. Section 3373b(b)(2) sets no</w:t>
      </w:r>
      <w:r>
        <w:t xml:space="preserve"> </w:t>
      </w:r>
      <w:r>
        <w:t xml:space="preserve">filing period of its own, so the deadline of the forum used governs.</w:t>
      </w:r>
    </w:p>
    <w:p>
      <w:pPr>
        <w:pStyle w:val="BodyText"/>
        <w:spacing w:after="160" w:line="259" w:lineRule="auto"/>
      </w:pPr>
      <w:r>
        <w:rPr>
          <w:bCs/>
          <w:b/>
        </w:rPr>
        <w:t xml:space="preserve">When to use.</w:t>
      </w:r>
      <w:r>
        <w:t xml:space="preserve"> </w:t>
      </w:r>
      <w:r>
        <w:t xml:space="preserve">A complaint of reprisal after a UAP disclosure.</w:t>
      </w:r>
      <w:r>
        <w:t xml:space="preserve"> </w:t>
      </w:r>
      <w:r>
        <w:rPr>
          <w:bCs/>
          <w:b/>
        </w:rPr>
        <w:t xml:space="preserve">Not for:</w:t>
      </w:r>
      <w:r>
        <w:t xml:space="preserve"> </w:t>
      </w:r>
      <w:r>
        <w:t xml:space="preserve">Disputes over clearance merits unrelated to a disclosure.</w:t>
      </w:r>
    </w:p>
    <w:p>
      <w:pPr>
        <w:pStyle w:val="BodyText"/>
        <w:spacing w:after="160" w:line="259" w:lineRule="auto"/>
      </w:pPr>
      <w:r>
        <w:rPr>
          <w:bCs/>
          <w:b/>
        </w:rPr>
        <w:t xml:space="preserve">Deadlines.</w:t>
      </w:r>
      <w:r>
        <w:t xml:space="preserve"> </w:t>
      </w:r>
      <w:r>
        <w:t xml:space="preserve">See the table; the shortest periods are the 60- and 90-day clearance appeals and the 65-day MSPB appeal.</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[Complainant name, contact; counsel]</w:t>
      </w:r>
    </w:p>
    <w:p>
      <w:pPr>
        <w:pStyle w:val="BodyText"/>
      </w:pPr>
      <w:r>
        <w:t xml:space="preserve">[Date]</w:t>
      </w:r>
    </w:p>
    <w:p>
      <w:pPr>
        <w:pStyle w:val="BodyText"/>
      </w:pPr>
      <w:r>
        <w:t xml:space="preserve">[Inspector General / Office of Special Counsel]</w:t>
      </w:r>
      <w:r>
        <w:br/>
      </w:r>
      <w:r>
        <w:t xml:space="preserve">[Address / hotline portal]</w:t>
      </w:r>
    </w:p>
    <w:p>
      <w:pPr>
        <w:pStyle w:val="BodyText"/>
      </w:pPr>
      <w:r>
        <w:rPr>
          <w:bCs/>
          <w:b/>
        </w:rPr>
        <w:t xml:space="preserve">Re: Complaint of reprisal for protected disclosures concerning unidentified anomalous phenomena</w:t>
      </w:r>
    </w:p>
    <w:p>
      <w:pPr>
        <w:pStyle w:val="BodyText"/>
      </w:pPr>
      <w:r>
        <w:rPr>
          <w:bCs/>
          <w:b/>
        </w:rPr>
        <w:t xml:space="preserve">1. Complainant.</w:t>
      </w:r>
      <w:r>
        <w:t xml:space="preserve"> </w:t>
      </w:r>
      <w:r>
        <w:t xml:space="preserve">[Name], [position, agency or contractor, dates], [clearance level if relevant].</w:t>
      </w:r>
    </w:p>
    <w:p>
      <w:pPr>
        <w:pStyle w:val="BodyText"/>
      </w:pPr>
      <w:r>
        <w:rPr>
          <w:bCs/>
          <w:b/>
        </w:rPr>
        <w:t xml:space="preserve">2. Protected disclosures.</w:t>
      </w:r>
      <w:r>
        <w:br/>
      </w:r>
      <w:r>
        <w:t xml:space="preserve">(a) On [date], Complainant made an authorized disclosure under 50 U.S.C. §3373b through AARO’s mechanism for</w:t>
      </w:r>
      <w:r>
        <w:t xml:space="preserve"> </w:t>
      </w:r>
      <w:r>
        <w:t xml:space="preserve">authorized reporting, to [recipient]. [Attach AARO’s written acknowledgment, if any.]</w:t>
      </w:r>
      <w:r>
        <w:br/>
      </w:r>
      <w:r>
        <w:t xml:space="preserve">(b) [On [date], Complainant disclosed to [IG / committee through ICIG / OSC] information that Complainant</w:t>
      </w:r>
      <w:r>
        <w:t xml:space="preserve"> </w:t>
      </w:r>
      <w:r>
        <w:t xml:space="preserve">reasonably believed evidenced [a violation of law, rule, or regulation, e.g., concealment from Congress of a</w:t>
      </w:r>
      <w:r>
        <w:t xml:space="preserve"> </w:t>
      </w:r>
      <w:r>
        <w:t xml:space="preserve">program required to be reported under 50 U.S.C. §3373 or 10 U.S.C. §119; spending in violation of Pub. L. No.</w:t>
      </w:r>
      <w:r>
        <w:t xml:space="preserve"> </w:t>
      </w:r>
      <w:r>
        <w:t xml:space="preserve">118-31, §1687; destruction of records in violation of Pub. L. No. 118-31, §1842(a)(2)(A); gross</w:t>
      </w:r>
      <w:r>
        <w:t xml:space="preserve"> </w:t>
      </w:r>
      <w:r>
        <w:t xml:space="preserve">mismanagement; abuse of authority].]</w:t>
      </w:r>
      <w:r>
        <w:br/>
      </w:r>
      <w:r>
        <w:t xml:space="preserve">(c) [On [date], Complainant communicated with official PURSUE representatives under the Department of War’s</w:t>
      </w:r>
      <w:r>
        <w:t xml:space="preserve"> </w:t>
      </w:r>
      <w:r>
        <w:t xml:space="preserve">September 14, 2026 waiver.]</w:t>
      </w:r>
    </w:p>
    <w:p>
      <w:pPr>
        <w:pStyle w:val="BodyText"/>
      </w:pPr>
      <w:r>
        <w:rPr>
          <w:bCs/>
          <w:b/>
        </w:rPr>
        <w:t xml:space="preserve">3. Knowledge.</w:t>
      </w:r>
      <w:r>
        <w:t xml:space="preserve"> </w:t>
      </w:r>
      <w:r>
        <w:t xml:space="preserve">The officials who took the actions below knew of the disclosures because [facts:</w:t>
      </w:r>
      <w:r>
        <w:t xml:space="preserve"> </w:t>
      </w:r>
      <w:r>
        <w:t xml:space="preserve">notification, timing, statements, circulation of information].</w:t>
      </w:r>
    </w:p>
    <w:p>
      <w:pPr>
        <w:pStyle w:val="BodyText"/>
      </w:pPr>
      <w:r>
        <w:rPr>
          <w:bCs/>
          <w:b/>
        </w:rPr>
        <w:t xml:space="preserve">4. Personnel and clearance actions.</w:t>
      </w:r>
      <w:r>
        <w:t xml:space="preserve"> </w:t>
      </w:r>
      <w:r>
        <w:t xml:space="preserve">After the disclosures, the following actions were taken or</w:t>
      </w:r>
      <w:r>
        <w:t xml:space="preserve"> </w:t>
      </w:r>
      <w:r>
        <w:t xml:space="preserve">threatened: [list with dates and officials: suspension or revocation of clearance or access; removal from a</w:t>
      </w:r>
      <w:r>
        <w:t xml:space="preserve"> </w:t>
      </w:r>
      <w:r>
        <w:t xml:space="preserve">program; reassignment; negative evaluation; non-selection; termination; contract or task-order removal;</w:t>
      </w:r>
      <w:r>
        <w:t xml:space="preserve"> </w:t>
      </w:r>
      <w:r>
        <w:t xml:space="preserve">referral for psychiatric evaluation; investigation].</w:t>
      </w:r>
    </w:p>
    <w:p>
      <w:pPr>
        <w:pStyle w:val="BodyText"/>
      </w:pPr>
      <w:r>
        <w:rPr>
          <w:bCs/>
          <w:b/>
        </w:rPr>
        <w:t xml:space="preserve">5. Causation.</w:t>
      </w:r>
      <w:r>
        <w:t xml:space="preserve"> </w:t>
      </w:r>
      <w:r>
        <w:t xml:space="preserve">The actions were taken because of the disclosures, as shown by [timing; departure from</w:t>
      </w:r>
      <w:r>
        <w:t xml:space="preserve"> </w:t>
      </w:r>
      <w:r>
        <w:t xml:space="preserve">procedures; statements; disparate treatment of comparators; absence of prior concerns].</w:t>
      </w:r>
    </w:p>
    <w:p>
      <w:pPr>
        <w:pStyle w:val="BodyText"/>
      </w:pPr>
      <w:r>
        <w:rPr>
          <w:bCs/>
          <w:b/>
        </w:rPr>
        <w:t xml:space="preserve">6. Legal basis.</w:t>
      </w:r>
      <w:r>
        <w:t xml:space="preserve"> </w:t>
      </w:r>
      <w:r>
        <w:t xml:space="preserve">These actions violate 50 U.S.C. §3373b(b)(2), which prohibits any federal or contractor</w:t>
      </w:r>
      <w:r>
        <w:t xml:space="preserve"> </w:t>
      </w:r>
      <w:r>
        <w:t xml:space="preserve">official from taking or threatening a personnel action in reprisal for an authorized UAP disclosure, and</w:t>
      </w:r>
      <w:r>
        <w:t xml:space="preserve"> </w:t>
      </w:r>
      <w:r>
        <w:t xml:space="preserve">[50 U.S.C. §3234 / §3341(j) / 10 U.S.C. §1034 / 5 U.S.C. §2302(b)(8)-(9) / 10 U.S.C. §4701].</w:t>
      </w:r>
    </w:p>
    <w:p>
      <w:pPr>
        <w:pStyle w:val="BodyText"/>
      </w:pPr>
      <w:r>
        <w:rPr>
          <w:bCs/>
          <w:b/>
        </w:rPr>
        <w:t xml:space="preserve">7. Relief requested.</w:t>
      </w:r>
      <w:r>
        <w:t xml:space="preserve"> </w:t>
      </w:r>
      <w:r>
        <w:t xml:space="preserve">Investigation; restoration of clearance and access [§3341(j) remedies];</w:t>
      </w:r>
      <w:r>
        <w:t xml:space="preserve"> </w:t>
      </w:r>
      <w:r>
        <w:t xml:space="preserve">reinstatement; back pay; correction of records; compensatory damages and fees where authorized; and</w:t>
      </w:r>
      <w:r>
        <w:t xml:space="preserve"> </w:t>
      </w:r>
      <w:r>
        <w:t xml:space="preserve">discipline of responsible officials.</w:t>
      </w:r>
    </w:p>
    <w:p>
      <w:pPr>
        <w:pStyle w:val="BodyText"/>
      </w:pPr>
      <w:r>
        <w:rPr>
          <w:bCs/>
          <w:b/>
        </w:rPr>
        <w:t xml:space="preserve">8. Classified information.</w:t>
      </w:r>
      <w:r>
        <w:t xml:space="preserve"> </w:t>
      </w:r>
      <w:r>
        <w:t xml:space="preserve">Complainant can provide classified details through a secure channel and</w:t>
      </w:r>
      <w:r>
        <w:t xml:space="preserve"> </w:t>
      </w:r>
      <w:r>
        <w:t xml:space="preserve">requests that the investigating office arrange one.</w:t>
      </w:r>
    </w:p>
    <w:p>
      <w:pPr>
        <w:pStyle w:val="BodyText"/>
      </w:pPr>
      <w:r>
        <w:rPr>
          <w:bCs/>
          <w:b/>
        </w:rPr>
        <w:t xml:space="preserve">9. Prior filings.</w:t>
      </w:r>
      <w:r>
        <w:t xml:space="preserve"> </w:t>
      </w:r>
      <w:r>
        <w:t xml:space="preserve">[List other complaints, OSC filings, EEO complaints, or PPD-19 requests, with dates and</w:t>
      </w:r>
      <w:r>
        <w:t xml:space="preserve"> </w:t>
      </w:r>
      <w:r>
        <w:t xml:space="preserve">outcomes, to show exhaustion and avoid jurisdictional problems such as those in</w:t>
      </w:r>
      <w:r>
        <w:t xml:space="preserve"> </w:t>
      </w:r>
      <w:r>
        <w:rPr>
          <w:iCs/>
          <w:i/>
        </w:rPr>
        <w:t xml:space="preserve">Akerman v. MSPB</w:t>
      </w:r>
      <w:r>
        <w:t xml:space="preserve">, 2025 WL</w:t>
      </w:r>
      <w:r>
        <w:t xml:space="preserve"> </w:t>
      </w:r>
      <w:r>
        <w:t xml:space="preserve">1140194 (Fed. Cir. Apr. 15, 2025).]</w:t>
      </w:r>
    </w:p>
    <w:p>
      <w:pPr>
        <w:pStyle w:val="BodyText"/>
      </w:pPr>
      <w:r>
        <w:t xml:space="preserve">I declare under penalty of perjury that the foregoing is true and correct to the best of my knowledge.</w:t>
      </w:r>
    </w:p>
    <w:p>
      <w:pPr>
        <w:pStyle w:val="BodyText"/>
      </w:pPr>
      <w:r>
        <w:t xml:space="preserve">[Signature] [Date]</w:t>
      </w:r>
    </w:p>
    <w:bookmarkEnd w:id="2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C1-2. Whistleblower Reprisal Complaint Following a UAP Disclosure</dc:title>
  <dc:creator>nhilaw.com</dc:creator>
  <cp:keywords/>
  <dcterms:created xsi:type="dcterms:W3CDTF">2026-10-19T03:12:54Z</dcterms:created>
  <dcterms:modified xsi:type="dcterms:W3CDTF">2026-10-19T03:12:54Z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