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1" w:name="X81df9fc8235beb36934c18910fa1dc0780d5c66"/>
    <w:p>
      <w:pPr>
        <w:pStyle w:val="Heading1"/>
      </w:pPr>
      <w:r>
        <w:t xml:space="preserve">Form C3-1. Advisory Letter to a Client Considering Disclosure of UAP Information</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https://nhilaw.com/forms/c3-1.html</w:t>
      </w:r>
    </w:p>
    <w:p>
      <w:pPr>
        <w:pStyle w:val="BodyText"/>
        <w:spacing w:after="160" w:line="259" w:lineRule="auto"/>
      </w:pPr>
      <w:r>
        <w:rPr>
          <w:bCs/>
          <w:b/>
        </w:rPr>
        <w:t xml:space="preserve">When to use.</w:t>
      </w:r>
      <w:r>
        <w:t xml:space="preserve"> </w:t>
      </w:r>
      <w:r>
        <w:t xml:space="preserve">Advising a current or former cleared client who wants to disclose UAP information.</w:t>
      </w:r>
      <w:r>
        <w:t xml:space="preserve"> </w:t>
      </w:r>
      <w:r>
        <w:rPr>
          <w:bCs/>
          <w:b/>
        </w:rPr>
        <w:t xml:space="preserve">Not for:</w:t>
      </w:r>
      <w:r>
        <w:t xml:space="preserve"> </w:t>
      </w:r>
      <w:r>
        <w:t xml:space="preserve">Clients with no clearance or nondisclosure obligation.</w:t>
      </w:r>
    </w:p>
    <w:p>
      <w:pPr>
        <w:pStyle w:val="BodyText"/>
        <w:spacing w:after="160" w:line="259" w:lineRule="auto"/>
      </w:pPr>
      <w:r>
        <w:rPr>
          <w:bCs/>
          <w:b/>
        </w:rPr>
        <w:t xml:space="preserve">Deadlines.</w:t>
      </w:r>
      <w:r>
        <w:t xml:space="preserve"> </w:t>
      </w:r>
      <w:r>
        <w:t xml:space="preserve">Send before the client speaks to anyone; calendar reprisal deadlines the day any adverse action occurs.</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t xml:space="preserve">PRIVILEGED AND CONFIDENTIAL</w:t>
      </w:r>
      <w:r>
        <w:br/>
      </w:r>
      <w:r>
        <w:t xml:space="preserve">ATTORNEY-CLIENT COMMUNICATION</w:t>
      </w:r>
    </w:p>
    <w:p>
      <w:pPr>
        <w:pStyle w:val="BodyText"/>
      </w:pPr>
      <w:r>
        <w:t xml:space="preserve">[Date]</w:t>
      </w:r>
    </w:p>
    <w:p>
      <w:pPr>
        <w:pStyle w:val="BodyText"/>
      </w:pPr>
      <w:r>
        <w:t xml:space="preserve">[Client]</w:t>
      </w:r>
    </w:p>
    <w:p>
      <w:pPr>
        <w:pStyle w:val="BodyText"/>
      </w:pPr>
      <w:r>
        <w:rPr>
          <w:bCs/>
          <w:b/>
        </w:rPr>
        <w:t xml:space="preserve">Re: Your options for disclosing information about unidentified anomalous phenomena</w:t>
      </w:r>
    </w:p>
    <w:p>
      <w:pPr>
        <w:pStyle w:val="BodyText"/>
      </w:pPr>
      <w:r>
        <w:t xml:space="preserve">Dear [Client]:</w:t>
      </w:r>
    </w:p>
    <w:p>
      <w:pPr>
        <w:pStyle w:val="BodyText"/>
      </w:pPr>
      <w:r>
        <w:t xml:space="preserve">You asked how you can share what you know about UAP-related programs without exposing yourself to</w:t>
      </w:r>
      <w:r>
        <w:t xml:space="preserve"> </w:t>
      </w:r>
      <w:r>
        <w:t xml:space="preserve">prosecution, loss of your clearance, or other penalties. This letter summarizes my advice. It is based only</w:t>
      </w:r>
      <w:r>
        <w:t xml:space="preserve"> </w:t>
      </w:r>
      <w:r>
        <w:t xml:space="preserve">on the unclassified information you have given me. Please do not tell me, or anyone else outside an</w:t>
      </w:r>
      <w:r>
        <w:t xml:space="preserve"> </w:t>
      </w:r>
      <w:r>
        <w:t xml:space="preserve">authorized channel, any classified information.</w:t>
      </w:r>
    </w:p>
    <w:p>
      <w:pPr>
        <w:pStyle w:val="BodyText"/>
      </w:pPr>
      <w:r>
        <w:rPr>
          <w:bCs/>
          <w:b/>
        </w:rPr>
        <w:t xml:space="preserve">1. What you must not do.</w:t>
      </w:r>
      <w:r>
        <w:t xml:space="preserve"> </w:t>
      </w:r>
      <w:r>
        <w:t xml:space="preserve">Do not disclose classified information to journalists, authors, podcasters,</w:t>
      </w:r>
      <w:r>
        <w:t xml:space="preserve"> </w:t>
      </w:r>
      <w:r>
        <w:t xml:space="preserve">filmmakers, researchers, family, friends, or on social media, and do not post or give interviews about</w:t>
      </w:r>
      <w:r>
        <w:t xml:space="preserve"> </w:t>
      </w:r>
      <w:r>
        <w:t xml:space="preserve">your former duties without prepublication review. Unauthorized disclosure of national defense information</w:t>
      </w:r>
      <w:r>
        <w:t xml:space="preserve"> </w:t>
      </w:r>
      <w:r>
        <w:t xml:space="preserve">is a federal crime under 18 U.S.C. §793 and related statutes, punishable by up to ten years in prison per</w:t>
      </w:r>
      <w:r>
        <w:t xml:space="preserve"> </w:t>
      </w:r>
      <w:r>
        <w:t xml:space="preserve">count. Good intentions are not a defense, and courts have upheld convictions of officials who gave</w:t>
      </w:r>
      <w:r>
        <w:t xml:space="preserve"> </w:t>
      </w:r>
      <w:r>
        <w:t xml:space="preserve">information to the press. Do not keep classified documents, notes, photographs, or media at home or on</w:t>
      </w:r>
      <w:r>
        <w:t xml:space="preserve"> </w:t>
      </w:r>
      <w:r>
        <w:t xml:space="preserve">personal devices; doing so is itself a crime under 18 U.S.C. §1924 and §793(e). If you have any such</w:t>
      </w:r>
      <w:r>
        <w:t xml:space="preserve"> </w:t>
      </w:r>
      <w:r>
        <w:t xml:space="preserve">material, tell me in general terms (not its content) and I will help you return it through security</w:t>
      </w:r>
      <w:r>
        <w:t xml:space="preserve"> </w:t>
      </w:r>
      <w:r>
        <w:t xml:space="preserve">channels.</w:t>
      </w:r>
    </w:p>
    <w:p>
      <w:pPr>
        <w:pStyle w:val="BodyText"/>
      </w:pPr>
      <w:r>
        <w:rPr>
          <w:bCs/>
          <w:b/>
        </w:rPr>
        <w:t xml:space="preserve">2. The protected channel.</w:t>
      </w:r>
      <w:r>
        <w:t xml:space="preserve"> </w:t>
      </w:r>
      <w:r>
        <w:t xml:space="preserve">Congress created a mechanism at the All-domain Anomaly Resolution Office</w:t>
      </w:r>
      <w:r>
        <w:t xml:space="preserve"> </w:t>
      </w:r>
      <w:r>
        <w:t xml:space="preserve">(AARO) for authorized reporting of UAP events and programs, including programs involving material</w:t>
      </w:r>
      <w:r>
        <w:t xml:space="preserve"> </w:t>
      </w:r>
      <w:r>
        <w:t xml:space="preserve">retrieval, analysis, and reverse engineering. 50 U.S.C. §3373b. A disclosure through that mechanism:</w:t>
      </w:r>
      <w:r>
        <w:t xml:space="preserve"> </w:t>
      </w:r>
      <w:r>
        <w:t xml:space="preserve">- is not subject to your nondisclosure agreements;</w:t>
      </w:r>
      <w:r>
        <w:t xml:space="preserve"> </w:t>
      </w:r>
      <w:r>
        <w:t xml:space="preserve">- is deemed to comply with classification rules; and</w:t>
      </w:r>
      <w:r>
        <w:t xml:space="preserve"> </w:t>
      </w:r>
      <w:r>
        <w:t xml:space="preserve">-</w:t>
      </w:r>
      <w:r>
        <w:t xml:space="preserve"> </w:t>
      </w:r>
      <w:r>
        <w:t xml:space="preserve">“</w:t>
      </w:r>
      <w:r>
        <w:t xml:space="preserve">is not a violation of section 798 of title 18, or other provision of law relating to the disclosure of</w:t>
      </w:r>
      <w:r>
        <w:t xml:space="preserve"> </w:t>
      </w:r>
      <w:r>
        <w:t xml:space="preserve">information.</w:t>
      </w:r>
      <w:r>
        <w:t xml:space="preserve">”</w:t>
      </w:r>
      <w:r>
        <w:br/>
      </w:r>
      <w:r>
        <w:t xml:space="preserve">Federal and contractor officials are prohibited from retaliating against you for it. I recommend that you</w:t>
      </w:r>
      <w:r>
        <w:t xml:space="preserve"> </w:t>
      </w:r>
      <w:r>
        <w:t xml:space="preserve">use this channel, and I will arrange it in writing with AARO before you disclose anything (see enclosed</w:t>
      </w:r>
      <w:r>
        <w:t xml:space="preserve"> </w:t>
      </w:r>
      <w:r>
        <w:t xml:space="preserve">draft letter). [Where counsel shares the site’s working premise:] I do not recommend relying on AARO to act on</w:t>
      </w:r>
      <w:r>
        <w:t xml:space="preserve"> </w:t>
      </w:r>
      <w:r>
        <w:t xml:space="preserve">what you tell it. AARO’s public statements on these subjects have been disputed by witnesses whose accounts they</w:t>
      </w:r>
      <w:r>
        <w:t xml:space="preserve"> </w:t>
      </w:r>
      <w:r>
        <w:t xml:space="preserve">addressed, and we should assume that what you tell AARO may reach the program you are reporting on. We will use</w:t>
      </w:r>
      <w:r>
        <w:t xml:space="preserve"> </w:t>
      </w:r>
      <w:r>
        <w:t xml:space="preserve">the AARO channel for the legal protection it gives, tell AARO no more than that protection requires, and make the</w:t>
      </w:r>
      <w:r>
        <w:t xml:space="preserve"> </w:t>
      </w:r>
      <w:r>
        <w:t xml:space="preserve">full disclosure at the same time to an inspector general (paragraph 4).</w:t>
      </w:r>
    </w:p>
    <w:p>
      <w:pPr>
        <w:pStyle w:val="BodyText"/>
      </w:pPr>
      <w:r>
        <w:rPr>
          <w:bCs/>
          <w:b/>
        </w:rPr>
        <w:t xml:space="preserve">3. PURSUE.</w:t>
      </w:r>
      <w:r>
        <w:t xml:space="preserve"> </w:t>
      </w:r>
      <w:r>
        <w:t xml:space="preserve">[If DoW-connected:] The Department of War has announced a waiver that lets current and former</w:t>
      </w:r>
      <w:r>
        <w:t xml:space="preserve"> </w:t>
      </w:r>
      <w:r>
        <w:t xml:space="preserve">Department personnel and contractors communicate UAP information to PURSUE representatives without</w:t>
      </w:r>
      <w:r>
        <w:t xml:space="preserve"> </w:t>
      </w:r>
      <w:r>
        <w:t xml:space="preserve">breach-of-agreement penalties under their NDAs and SAP agreements. The announcement addresses only civil</w:t>
      </w:r>
      <w:r>
        <w:t xml:space="preserve"> </w:t>
      </w:r>
      <w:r>
        <w:t xml:space="preserve">and administrative enforcement, so I recommend using it alongside the AARO channel.</w:t>
      </w:r>
    </w:p>
    <w:p>
      <w:pPr>
        <w:pStyle w:val="BodyText"/>
      </w:pPr>
      <w:r>
        <w:rPr>
          <w:bCs/>
          <w:b/>
        </w:rPr>
        <w:t xml:space="preserve">4. Inspectors general and Congress.</w:t>
      </w:r>
      <w:r>
        <w:t xml:space="preserve"> </w:t>
      </w:r>
      <w:r>
        <w:t xml:space="preserve">If you believe the programs involved violations of law (for</w:t>
      </w:r>
      <w:r>
        <w:t xml:space="preserve"> </w:t>
      </w:r>
      <w:r>
        <w:t xml:space="preserve">example, concealment from Congress or misuse of funds), you may also report through [inspector general /</w:t>
      </w:r>
      <w:r>
        <w:t xml:space="preserve"> </w:t>
      </w:r>
      <w:r>
        <w:t xml:space="preserve">ICIG urgent-concern process], which can transmit your concerns to the intelligence committees. Do not</w:t>
      </w:r>
      <w:r>
        <w:t xml:space="preserve"> </w:t>
      </w:r>
      <w:r>
        <w:t xml:space="preserve">contact individual members of Congress or staff with classified information outside those procedures.</w:t>
      </w:r>
    </w:p>
    <w:p>
      <w:pPr>
        <w:pStyle w:val="BodyText"/>
      </w:pPr>
      <w:r>
        <w:rPr>
          <w:bCs/>
          <w:b/>
        </w:rPr>
        <w:t xml:space="preserve">5. Your clearance and employment.</w:t>
      </w:r>
      <w:r>
        <w:t xml:space="preserve"> </w:t>
      </w:r>
      <w:r>
        <w:t xml:space="preserve">Retaliation against you for a protected disclosure is unlawful, but</w:t>
      </w:r>
      <w:r>
        <w:t xml:space="preserve"> </w:t>
      </w:r>
      <w:r>
        <w:t xml:space="preserve">remedies for clearance actions are mostly administrative and courts rarely review clearance decisions.</w:t>
      </w:r>
      <w:r>
        <w:t xml:space="preserve"> </w:t>
      </w:r>
      <w:r>
        <w:t xml:space="preserve">Please keep a dated record of every disclosure and every adverse action, and tell me promptly about any</w:t>
      </w:r>
      <w:r>
        <w:t xml:space="preserve"> </w:t>
      </w:r>
      <w:r>
        <w:t xml:space="preserve">change in your access, duties, or evaluations so we can file within the deadlines.</w:t>
      </w:r>
    </w:p>
    <w:p>
      <w:pPr>
        <w:pStyle w:val="BodyText"/>
      </w:pPr>
      <w:r>
        <w:rPr>
          <w:bCs/>
          <w:b/>
        </w:rPr>
        <w:t xml:space="preserve">6. Past conduct.</w:t>
      </w:r>
      <w:r>
        <w:t xml:space="preserve"> </w:t>
      </w:r>
      <w:r>
        <w:t xml:space="preserve">Before you testify to Congress, a commission, or investigators about what you did in</w:t>
      </w:r>
      <w:r>
        <w:t xml:space="preserve"> </w:t>
      </w:r>
      <w:r>
        <w:t xml:space="preserve">any program, we need to assess whether any of that conduct could expose you to liability, and whether to</w:t>
      </w:r>
      <w:r>
        <w:t xml:space="preserve"> </w:t>
      </w:r>
      <w:r>
        <w:t xml:space="preserve">seek a proffer agreement or immunity. Please do not agree to any interview or testimony without speaking</w:t>
      </w:r>
      <w:r>
        <w:t xml:space="preserve"> </w:t>
      </w:r>
      <w:r>
        <w:t xml:space="preserve">to me first.</w:t>
      </w:r>
    </w:p>
    <w:p>
      <w:pPr>
        <w:pStyle w:val="BodyText"/>
      </w:pPr>
      <w:r>
        <w:rPr>
          <w:bCs/>
          <w:b/>
        </w:rPr>
        <w:t xml:space="preserve">7. Public statements.</w:t>
      </w:r>
      <w:r>
        <w:t xml:space="preserve"> </w:t>
      </w:r>
      <w:r>
        <w:t xml:space="preserve">If you want to speak publicly about anything related to your former duties,</w:t>
      </w:r>
      <w:r>
        <w:t xml:space="preserve"> </w:t>
      </w:r>
      <w:r>
        <w:t xml:space="preserve">including on UAP generally, we will first submit what you intend to say for prepublication review.</w:t>
      </w:r>
    </w:p>
    <w:p>
      <w:pPr>
        <w:pStyle w:val="BodyText"/>
      </w:pPr>
      <w:r>
        <w:rPr>
          <w:bCs/>
          <w:b/>
        </w:rPr>
        <w:t xml:space="preserve">8. Next steps.</w:t>
      </w:r>
      <w:r>
        <w:t xml:space="preserve"> </w:t>
      </w:r>
      <w:r>
        <w:t xml:space="preserve">[List: sign engagement; return any material; send AARO letter; schedule secure meeting;</w:t>
      </w:r>
      <w:r>
        <w:t xml:space="preserve"> </w:t>
      </w:r>
      <w:r>
        <w:t xml:space="preserve">calendar reprisal deadlines.]</w:t>
      </w:r>
    </w:p>
    <w:p>
      <w:pPr>
        <w:pStyle w:val="BodyText"/>
      </w:pPr>
      <w:r>
        <w:t xml:space="preserve">Please call me with any questions.</w:t>
      </w:r>
    </w:p>
    <w:p>
      <w:pPr>
        <w:pStyle w:val="BodyText"/>
      </w:pPr>
      <w:r>
        <w:t xml:space="preserve">Sincerely,</w:t>
      </w:r>
      <w:r>
        <w:br/>
      </w:r>
      <w:r>
        <w:t xml:space="preserve">[Counsel]</w:t>
      </w:r>
    </w:p>
    <w:p>
      <w:pPr>
        <w:pStyle w:val="BodyText"/>
      </w:pPr>
      <w:r>
        <w:t xml:space="preserve">Enclosures: Draft letter to AARO (</w:t>
      </w:r>
      <w:hyperlink r:id="rId20">
        <w:r>
          <w:rPr>
            <w:rStyle w:val="Hyperlink"/>
          </w:rPr>
          <w:t xml:space="preserve">Form C1-1</w:t>
        </w:r>
      </w:hyperlink>
      <w:r>
        <w:t xml:space="preserve">); summary of disclosure routes (below)</w:t>
      </w:r>
    </w:p>
    <w:p>
      <w:pPr>
        <w:pStyle w:val="BodyText"/>
      </w:pPr>
      <w:r>
        <w:br w:type="page"/>
      </w:r>
    </w:p>
    <w:p>
      <w:pPr>
        <w:pStyle w:val="BodyText"/>
      </w:pPr>
      <w:r>
        <w:rPr>
          <w:bCs/>
          <w:b/>
        </w:rPr>
        <w:t xml:space="preserve">Enclosure: Summary of disclosure routes</w:t>
      </w:r>
    </w:p>
    <w:p>
      <w:pPr>
        <w:pStyle w:val="BodyText"/>
      </w:pPr>
      <w:r>
        <w:t xml:space="preserve">Route | Criminal exposure | NDA / civil exposure | Clearance and employment | Remedy if you suffer reprisal |\</w:t>
      </w:r>
    </w:p>
    <w:p>
      <w:pPr>
        <w:pStyle w:val="BodyText"/>
      </w:pPr>
      <w:r>
        <w:t xml:space="preserve">|—|—|—|—|—|</w:t>
      </w:r>
      <w:r>
        <w:br/>
      </w:r>
      <w:r>
        <w:t xml:space="preserve">| AARO mechanism (50 U.S.C. §3373b) | None for the disclosure itself | None (§3373b(b)(1)(A)) | Reprisal prohibited | §3373b(b)(2); inspector general procedures |</w:t>
      </w:r>
      <w:r>
        <w:br/>
      </w:r>
      <w:r>
        <w:t xml:space="preserve">| PURSUE (Department of War waiver) | Not addressed by the waiver | Waived for PURSUE communications | Not addressed | Existing law only |</w:t>
      </w:r>
      <w:r>
        <w:br/>
      </w:r>
      <w:r>
        <w:t xml:space="preserve">| Inspector general or ICIG urgent concern | Authorized channel | Authorized | Reprisal prohibited | 50 U.S.C. §§3234, 3341(j); 10 U.S.C. §§1034, 4701 |</w:t>
      </w:r>
      <w:r>
        <w:br/>
      </w:r>
      <w:r>
        <w:t xml:space="preserve">| Congressional committee through its procedures | Authorized | Authorized | Reprisal prohibited | Same |</w:t>
      </w:r>
      <w:r>
        <w:br/>
      </w:r>
      <w:r>
        <w:t xml:space="preserve">| Individual member of Congress outside those procedures | Unclear | Possible breach | High risk | Uncertain |</w:t>
      </w:r>
      <w:r>
        <w:br/>
      </w:r>
      <w:r>
        <w:t xml:space="preserve">| Journalist, podcast, social media, or book without review | High (18 U.S.C. §§793(d)-(e), 798) | Breach; the government can claim your profits | Revocation likely | None |</w:t>
      </w:r>
    </w:p>
    <w:bookmarkEnd w:id="21"/>
    <w:sectPr>
      <w:headerReference w:type="default" r:id="rId11"/>
      <w:footerReference w:type="default" r:id="rId12"/>
      <w:headerReference w:type="first" r:id="rId14"/>
      <w:footerReference w:type="first" r:id="rId13"/>
      <w:pgSz w:h="15840" w:w="12240"/>
      <w:pgMar w:bottom="1440" w:left="1440" w:right="1440" w:top="1440" w:header="720" w:footer="576"/>
      <w:pgNumType w:start="1"/>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nhilaw.com/forms/c1-1.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0" Type="http://schemas.openxmlformats.org/officeDocument/2006/relationships/hyperlink" Target="https://nhilaw.com/forms/c1-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C3-1. Advisory Letter to a Client Considering Disclosure of UAP Information</dc:title>
  <dc:creator>nhilaw.com</dc:creator>
  <cp:keywords/>
  <dcterms:created xsi:type="dcterms:W3CDTF">2026-10-19T03:13:00Z</dcterms:created>
  <dcterms:modified xsi:type="dcterms:W3CDTF">2026-10-19T03:13:00Z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