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Criminal Exposure of UAP Insiders Who Disclose Information</w:t>
      </w:r>
    </w:p>
    <w:p>
      <w:pPr>
        <w:pStyle w:val="Subtitle"/>
      </w:pPr>
      <w:r>
        <w:t xml:space="preserve">Version 1.10 · October 2026 · nhilaw.com/issues/c3.html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Unauthorized disclosure of classified UAP information to the press is the highest-risk act: public interest and good motive are not defenses (</w:t>
      </w:r>
      <w:r>
        <w:rPr>
          <w:iCs/>
          <w:i/>
        </w:rPr>
        <w:t xml:space="preserve">Morison</w:t>
      </w:r>
      <w:r>
        <w:t xml:space="preserve">;</w:t>
      </w:r>
      <w:r>
        <w:t xml:space="preserve"> </w:t>
      </w:r>
      <w:r>
        <w:rPr>
          <w:iCs/>
          <w:i/>
        </w:rPr>
        <w:t xml:space="preserve">Sterling</w:t>
      </w:r>
      <w:r>
        <w:t xml:space="preserve">;</w:t>
      </w:r>
      <w:r>
        <w:t xml:space="preserve"> </w:t>
      </w:r>
      <w:r>
        <w:rPr>
          <w:iCs/>
          <w:i/>
        </w:rPr>
        <w:t xml:space="preserve">Kiriakou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A disclosure through the AARO mechanism</w:t>
      </w:r>
      <w:r>
        <w:t xml:space="preserve"> </w:t>
      </w:r>
      <w:r>
        <w:t xml:space="preserve">“</w:t>
      </w:r>
      <w:r>
        <w:t xml:space="preserve">is not a violation of section 798 of title 18, or other provision of law relating to the disclosure of information</w:t>
      </w:r>
      <w:r>
        <w:t xml:space="preserve">”</w:t>
      </w:r>
      <w:r>
        <w:t xml:space="preserve"> </w:t>
      </w:r>
      <w:r>
        <w:t xml:space="preserve">(50 U.S.C. §3373b(b)(1)(C)); prior retention at home is not covered.</w:t>
      </w:r>
    </w:p>
    <w:p>
      <w:pPr>
        <w:pStyle w:val="Compact"/>
        <w:numPr>
          <w:ilvl w:val="0"/>
          <w:numId w:val="1001"/>
        </w:numPr>
      </w:pPr>
      <w:r>
        <w:t xml:space="preserve">The Atomic Energy Act’s death penalty was repealed in 1969; threats that witnesses could be executed under it misstate the law.</w:t>
      </w:r>
    </w:p>
    <w:p>
      <w:pPr>
        <w:pStyle w:val="Compact"/>
        <w:numPr>
          <w:ilvl w:val="0"/>
          <w:numId w:val="1001"/>
        </w:numPr>
      </w:pPr>
      <w:r>
        <w:t xml:space="preserve">Sentencing levels for §793 offenses are high (U.S.S.G. §§2M3.2-2M3.3), and recent sentences run to years.</w:t>
      </w:r>
    </w:p>
    <w:p>
      <w:pPr>
        <w:pStyle w:val="Compact"/>
        <w:numPr>
          <w:ilvl w:val="0"/>
          <w:numId w:val="1001"/>
        </w:numPr>
      </w:pPr>
      <w:r>
        <w:t xml:space="preserve">Return any classified material through security channels before or with the disclosure, without counsel taking possession.</w:t>
      </w:r>
    </w:p>
    <w:p>
      <w:r>
        <w:pict>
          <v:rect style="width:0;height:1.5pt" o:hralign="center" o:hrstd="t" o:hr="t"/>
        </w:pict>
      </w:r>
    </w:p>
    <w:bookmarkEnd w:id="21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An insider who discloses UAP information can face prosecution under the Espionage Act and related</w:t>
      </w:r>
      <w:r>
        <w:t xml:space="preserve"> </w:t>
      </w:r>
      <w:r>
        <w:t xml:space="preserve">statutes if the disclosure is unauthorized. Unauthorized disclosure to the press is the highest-risk act:</w:t>
      </w:r>
      <w:r>
        <w:t xml:space="preserve"> </w:t>
      </w:r>
      <w:r>
        <w:t xml:space="preserve">the government has prosecuted it repeatedly and won (</w:t>
      </w:r>
      <w:r>
        <w:rPr>
          <w:iCs/>
          <w:i/>
        </w:rPr>
        <w:t xml:space="preserve">United States v. Morison</w:t>
      </w:r>
      <w:r>
        <w:t xml:space="preserve">, 844 F.2d 1057 (4th Cir.</w:t>
      </w:r>
      <w:r>
        <w:t xml:space="preserve"> </w:t>
      </w:r>
      <w:r>
        <w:t xml:space="preserve">1988);</w:t>
      </w:r>
      <w:r>
        <w:t xml:space="preserve"> </w:t>
      </w:r>
      <w:r>
        <w:rPr>
          <w:iCs/>
          <w:i/>
        </w:rPr>
        <w:t xml:space="preserve">United States v. Sterling</w:t>
      </w:r>
      <w:r>
        <w:t xml:space="preserve">, 860 F.3d 233 (4th Cir. 2017)). Public interest and good motive are not</w:t>
      </w:r>
      <w:r>
        <w:t xml:space="preserve"> </w:t>
      </w:r>
      <w:r>
        <w:t xml:space="preserve">defenses. Courts have declined to recognize a whistleblower defense under §793.</w:t>
      </w:r>
    </w:p>
    <w:p>
      <w:pPr>
        <w:pStyle w:val="BodyText"/>
      </w:pPr>
      <w:r>
        <w:t xml:space="preserve">Since 2022 the law has given insiders a safe channel. A disclosure made through the AARO authorized</w:t>
      </w:r>
      <w:r>
        <w:t xml:space="preserve"> </w:t>
      </w:r>
      <w:r>
        <w:t xml:space="preserve">reporting mechanism</w:t>
      </w:r>
      <w:r>
        <w:t xml:space="preserve"> </w:t>
      </w:r>
      <w:r>
        <w:t xml:space="preserve">“</w:t>
      </w:r>
      <w:r>
        <w:t xml:space="preserve">is not a violation of section 798 of title 18, or other provision of law relating to</w:t>
      </w:r>
      <w:r>
        <w:t xml:space="preserve"> </w:t>
      </w:r>
      <w:r>
        <w:t xml:space="preserve">the disclosure of information.</w:t>
      </w:r>
      <w:r>
        <w:t xml:space="preserve">”</w:t>
      </w:r>
      <w:r>
        <w:t xml:space="preserve"> </w:t>
      </w:r>
      <w:r>
        <w:t xml:space="preserve">50 U.S.C. §3373b(b)(1)(C). Disclosures to inspectors general and to the</w:t>
      </w:r>
      <w:r>
        <w:t xml:space="preserve"> </w:t>
      </w:r>
      <w:r>
        <w:t xml:space="preserve">intelligence committees through the statutory channels are authorized, and the Department of War’s PURSUE</w:t>
      </w:r>
      <w:r>
        <w:t xml:space="preserve"> </w:t>
      </w:r>
      <w:r>
        <w:t xml:space="preserve">waiver authorizes communications to PURSUE representatives. Outside those channels, the statutes below</w:t>
      </w:r>
      <w:r>
        <w:t xml:space="preserve"> </w:t>
      </w:r>
      <w:r>
        <w:t xml:space="preserve">apply with full force.</w:t>
      </w:r>
    </w:p>
    <w:p>
      <w:pPr>
        <w:pStyle w:val="BodyText"/>
      </w:pPr>
      <w:r>
        <w:t xml:space="preserve">Insiders also face exposure for past conduct within programs (false statements to Congress or</w:t>
      </w:r>
      <w:r>
        <w:t xml:space="preserve"> </w:t>
      </w:r>
      <w:r>
        <w:t xml:space="preserve">investigators, records destruction, misuse of funds), addressed in</w:t>
      </w:r>
      <w:r>
        <w:t xml:space="preserve"> </w:t>
      </w:r>
      <w:hyperlink r:id="rId22">
        <w:r>
          <w:rPr>
            <w:rStyle w:val="Hyperlink"/>
          </w:rPr>
          <w:t xml:space="preserve">Issue D3</w:t>
        </w:r>
      </w:hyperlink>
      <w:r>
        <w:t xml:space="preserve">. And retention of classified</w:t>
      </w:r>
      <w:r>
        <w:t xml:space="preserve"> </w:t>
      </w:r>
      <w:r>
        <w:t xml:space="preserve">material at home, often the first step toward a disclosure, is itself a crime.</w:t>
      </w:r>
    </w:p>
    <w:p>
      <w:r>
        <w:pict>
          <v:rect style="width:0;height:1.5pt" o:hralign="center" o:hrstd="t" o:hr="t"/>
        </w:pict>
      </w:r>
    </w:p>
    <w:bookmarkEnd w:id="23"/>
    <w:bookmarkStart w:id="24" w:name="statutes"/>
    <w:p>
      <w:pPr>
        <w:pStyle w:val="Heading2"/>
      </w:pPr>
      <w:r>
        <w:t xml:space="preserve">2. Statutes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Statute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elements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Maximum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§793(d)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Lawful possessor willfully communicates national defense information (NDI) to a person not entitled, or willfully retains and fails to deliver it on demand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NDI (closely held; potentially damaging); willfulness; for intangible information, reason to believe it could injure the U.S. or aid a foreign 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§793(e)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Unauthorized possessor willfully communicates or retains 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Same; reaches non-government recipients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§793(f)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Gross negligence causing loss or removal of 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Gross negligence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§798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Knowingly and willfully communicates or publishes classified communications intelligence information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Classified COMINT; no intent-to-injure element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§1924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Officer, employee, or contractor knowingly removes classified material and retains it at an unauthorized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Knowledge; intent to retain at unauthorized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§641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Theft or conversion of government property, including records and information (circuit split on intangible information)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threshold for felony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 U.S.C. §§2274-2277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of Restricted Data with intent to injure or reason to believe; disclosure by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Restricted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life (§2274(a))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§3121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Disclosure of identities of covert agents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Identity of covert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 statements to federal investigators or Congress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U.S.C. §1505, §1512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Obstruction of congressional or agency proceedings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Corrupt intent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5-20 years</w:t>
            </w:r>
          </w:p>
        </w:tc>
      </w:tr>
    </w:tbl>
    <w:p>
      <w:pPr>
        <w:pStyle w:val="BodyText"/>
      </w:pPr>
      <w:r>
        <w:rPr>
          <w:bCs/>
          <w:b/>
        </w:rPr>
        <w:t xml:space="preserve">The Atomic Energy Act and the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death sentence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threat.</w:t>
      </w:r>
      <w:r>
        <w:t xml:space="preserve"> </w:t>
      </w:r>
      <w:r>
        <w:t xml:space="preserve">Insider accounts report that program witnesses were told</w:t>
      </w:r>
      <w:r>
        <w:t xml:space="preserve"> </w:t>
      </w:r>
      <w:r>
        <w:t xml:space="preserve">the Atomic Energy Act</w:t>
      </w:r>
      <w:r>
        <w:t xml:space="preserve"> </w:t>
      </w:r>
      <w:r>
        <w:t xml:space="preserve">“</w:t>
      </w:r>
      <w:r>
        <w:t xml:space="preserve">could be used to sentence them to death</w:t>
      </w:r>
      <w:r>
        <w:t xml:space="preserve">”</w:t>
      </w:r>
      <w:r>
        <w:t xml:space="preserve"> </w:t>
      </w:r>
      <w:r>
        <w:t xml:space="preserve">(Jay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chs. 8, 36</w:t>
      </w:r>
      <w:r>
        <w:t xml:space="preserve"> </w:t>
      </w:r>
      <w:r>
        <w:t xml:space="preserve">(2026)). Congress removed the death penalty from the Act’s Restricted Data offenses in 1969 (Pub. L. 91-161, §§2-3,</w:t>
      </w:r>
      <w:r>
        <w:t xml:space="preserve"> </w:t>
      </w:r>
      <w:r>
        <w:t xml:space="preserve">83 Stat. 444). The most serious offense, communicating Restricted Data</w:t>
      </w:r>
      <w:r>
        <w:t xml:space="preserve"> </w:t>
      </w:r>
      <w:r>
        <w:t xml:space="preserve">“</w:t>
      </w:r>
      <w:r>
        <w:t xml:space="preserve">with intent to injure the United States or</w:t>
      </w:r>
      <w:r>
        <w:t xml:space="preserve"> </w:t>
      </w:r>
      <w:r>
        <w:t xml:space="preserve">with intent to secure an advantage to any foreign nation,</w:t>
      </w:r>
      <w:r>
        <w:t xml:space="preserve">”</w:t>
      </w:r>
      <w:r>
        <w:t xml:space="preserve"> </w:t>
      </w:r>
      <w:r>
        <w:t xml:space="preserve">now carries a maximum of life imprisonment (42 U.S.C.</w:t>
      </w:r>
      <w:r>
        <w:t xml:space="preserve"> </w:t>
      </w:r>
      <w:r>
        <w:t xml:space="preserve">§2274(a)), and communication with only</w:t>
      </w:r>
      <w:r>
        <w:t xml:space="preserve"> </w:t>
      </w:r>
      <w:r>
        <w:t xml:space="preserve">“</w:t>
      </w:r>
      <w:r>
        <w:t xml:space="preserve">reason to believe</w:t>
      </w:r>
      <w:r>
        <w:t xml:space="preserve">”</w:t>
      </w:r>
      <w:r>
        <w:t xml:space="preserve"> </w:t>
      </w:r>
      <w:r>
        <w:t xml:space="preserve">the data will be so used carries ten years (§2274(b)). A</w:t>
      </w:r>
      <w:r>
        <w:t xml:space="preserve"> </w:t>
      </w:r>
      <w:r>
        <w:t xml:space="preserve">client who has been told otherwise should be told the actual law. A threat of that kind made to deter a witness from</w:t>
      </w:r>
      <w:r>
        <w:t xml:space="preserve"> </w:t>
      </w:r>
      <w:r>
        <w:t xml:space="preserve">reporting to an inspector general or Congress may itself be witness tampering or retaliation (</w:t>
      </w:r>
      <w:hyperlink r:id="rId22">
        <w:r>
          <w:rPr>
            <w:rStyle w:val="Hyperlink"/>
          </w:rPr>
          <w:t xml:space="preserve">Issue D3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Computer offenses.</w:t>
      </w:r>
      <w:r>
        <w:t xml:space="preserve"> </w:t>
      </w:r>
      <w:r>
        <w:t xml:space="preserve">Obtaining classified information by exceeding authorized access to a government computer and</w:t>
      </w:r>
      <w:r>
        <w:t xml:space="preserve"> </w:t>
      </w:r>
      <w:r>
        <w:t xml:space="preserve">willfully delivering or retaining it is a separate felony (18 U.S.C. §1030(a)(1)), often charged alongside §793.</w:t>
      </w:r>
    </w:p>
    <w:p>
      <w:pPr>
        <w:pStyle w:val="BodyText"/>
      </w:pPr>
      <w:r>
        <w:rPr>
          <w:bCs/>
          <w:b/>
        </w:rPr>
        <w:t xml:space="preserve">Section 641 and intangible information.</w:t>
      </w:r>
      <w:r>
        <w:t xml:space="preserve"> </w:t>
      </w:r>
      <w:r>
        <w:t xml:space="preserve">Courts long divided over whether confidential government</w:t>
      </w:r>
      <w:r>
        <w:t xml:space="preserve"> </w:t>
      </w:r>
      <w:r>
        <w:t xml:space="preserve">information, as opposed to documents, is a</w:t>
      </w:r>
      <w:r>
        <w:t xml:space="preserve"> </w:t>
      </w:r>
      <w:r>
        <w:t xml:space="preserve">“</w:t>
      </w:r>
      <w:r>
        <w:t xml:space="preserve">thing of value</w:t>
      </w:r>
      <w:r>
        <w:t xml:space="preserve">”</w:t>
      </w:r>
      <w:r>
        <w:t xml:space="preserve"> </w:t>
      </w:r>
      <w:r>
        <w:t xml:space="preserve">under §641. The Second Circuit first held that</w:t>
      </w:r>
      <w:r>
        <w:t xml:space="preserve"> </w:t>
      </w:r>
      <w:r>
        <w:t xml:space="preserve">confidential agency information about planned rate changes was a</w:t>
      </w:r>
      <w:r>
        <w:t xml:space="preserve"> </w:t>
      </w:r>
      <w:r>
        <w:t xml:space="preserve">“</w:t>
      </w:r>
      <w:r>
        <w:t xml:space="preserve">thing of value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property.</w:t>
      </w:r>
      <w:r>
        <w:t xml:space="preserve">”</w:t>
      </w:r>
      <w:r>
        <w:t xml:space="preserve"> </w:t>
      </w:r>
      <w:r>
        <w:rPr>
          <w:iCs/>
          <w:i/>
        </w:rPr>
        <w:t xml:space="preserve">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 v. Blaszczak</w:t>
      </w:r>
      <w:r>
        <w:t xml:space="preserve">, 947 F.3d 19 (2d Cir. 2019). After the Supreme Court vacated that judgment in light of</w:t>
      </w:r>
      <w:r>
        <w:t xml:space="preserve"> </w:t>
      </w:r>
      <w:r>
        <w:rPr>
          <w:iCs/>
          <w:i/>
        </w:rPr>
        <w:t xml:space="preserve">Kelly v. United States</w:t>
      </w:r>
      <w:r>
        <w:t xml:space="preserve">, 590 U.S. 391 (2020), the government agreed that the information</w:t>
      </w:r>
      <w:r>
        <w:t xml:space="preserve"> </w:t>
      </w:r>
      <w:r>
        <w:t xml:space="preserve">“</w:t>
      </w:r>
      <w:r>
        <w:t xml:space="preserve">does not constitute</w:t>
      </w:r>
      <w:r>
        <w:t xml:space="preserve"> </w:t>
      </w:r>
      <w:r>
        <w:t xml:space="preserve">‘</w:t>
      </w:r>
      <w:r>
        <w:t xml:space="preserve">property</w:t>
      </w:r>
      <w:r>
        <w:t xml:space="preserve">’</w:t>
      </w:r>
      <w:r>
        <w:t xml:space="preserve"> </w:t>
      </w:r>
      <w:r>
        <w:t xml:space="preserve">or a</w:t>
      </w:r>
      <w:r>
        <w:t xml:space="preserve"> </w:t>
      </w:r>
      <w:r>
        <w:t xml:space="preserve">‘</w:t>
      </w:r>
      <w:r>
        <w:t xml:space="preserve">thing of value</w:t>
      </w:r>
      <w:r>
        <w:t xml:space="preserve">’</w:t>
      </w:r>
      <w:r>
        <w:t xml:space="preserve">”</w:t>
      </w:r>
      <w:r>
        <w:t xml:space="preserve"> </w:t>
      </w:r>
      <w:r>
        <w:t xml:space="preserve">for the substantive §641 and fraud counts and confessed error, and the Second</w:t>
      </w:r>
      <w:r>
        <w:t xml:space="preserve"> </w:t>
      </w:r>
      <w:r>
        <w:t xml:space="preserve">Circuit remanded for dismissal of those counts.</w:t>
      </w:r>
      <w:r>
        <w:t xml:space="preserve"> </w:t>
      </w:r>
      <w:r>
        <w:rPr>
          <w:iCs/>
          <w:i/>
        </w:rPr>
        <w:t xml:space="preserve">United States v. Blaszczak</w:t>
      </w:r>
      <w:r>
        <w:t xml:space="preserve">, 56 F.4th 230 (2d Cir. 2022). The court did not rest only on the concession. It distinguished</w:t>
      </w:r>
      <w:r>
        <w:t xml:space="preserve"> </w:t>
      </w:r>
      <w:r>
        <w:rPr>
          <w:iCs/>
          <w:i/>
        </w:rPr>
        <w:t xml:space="preserve">United States v. Girard</w:t>
      </w:r>
      <w:r>
        <w:t xml:space="preserve">, 601 F.2d</w:t>
      </w:r>
      <w:r>
        <w:t xml:space="preserve"> </w:t>
      </w:r>
      <w:r>
        <w:t xml:space="preserve">69, 71 (2d Cir. 1979), which held that confidential DEA records identifying informants were a</w:t>
      </w:r>
      <w:r>
        <w:t xml:space="preserve"> </w:t>
      </w:r>
      <w:r>
        <w:t xml:space="preserve">“</w:t>
      </w:r>
      <w:r>
        <w:t xml:space="preserve">thing of value,</w:t>
      </w:r>
      <w:r>
        <w:t xml:space="preserve">”</w:t>
      </w:r>
      <w:r>
        <w:t xml:space="preserve"> </w:t>
      </w:r>
      <w:r>
        <w:t xml:space="preserve">because that kind of</w:t>
      </w:r>
      <w:r>
        <w:t xml:space="preserve"> </w:t>
      </w:r>
      <w:r>
        <w:t xml:space="preserve">“</w:t>
      </w:r>
      <w:r>
        <w:t xml:space="preserve">inherently valuable law enforcement information</w:t>
      </w:r>
      <w:r>
        <w:t xml:space="preserve">”</w:t>
      </w:r>
      <w:r>
        <w:t xml:space="preserve"> </w:t>
      </w:r>
      <w:r>
        <w:t xml:space="preserve">is not comparable to an agency’s planned</w:t>
      </w:r>
      <w:r>
        <w:t xml:space="preserve"> </w:t>
      </w:r>
      <w:r>
        <w:t xml:space="preserve">reimbursement rates. 56 F.4th at 244. District courts in the Second Circuit continue to apply</w:t>
      </w:r>
      <w:r>
        <w:t xml:space="preserve"> </w:t>
      </w:r>
      <w:r>
        <w:rPr>
          <w:iCs/>
          <w:i/>
        </w:rPr>
        <w:t xml:space="preserve">Girard</w:t>
      </w:r>
      <w:r>
        <w:t xml:space="preserve"> </w:t>
      </w:r>
      <w:r>
        <w:t xml:space="preserve">after</w:t>
      </w:r>
      <w:r>
        <w:t xml:space="preserve"> </w:t>
      </w:r>
      <w:r>
        <w:rPr>
          <w:iCs/>
          <w:i/>
        </w:rPr>
        <w:t xml:space="preserve">Kelly</w:t>
      </w:r>
      <w:r>
        <w:t xml:space="preserve">:</w:t>
      </w:r>
      <w:r>
        <w:t xml:space="preserve"> </w:t>
      </w:r>
      <w:r>
        <w:t xml:space="preserve">selling an agency’s nonpublic records to an outsider is still a §641 offense, both because the records are</w:t>
      </w:r>
      <w:r>
        <w:t xml:space="preserve"> </w:t>
      </w:r>
      <w:r>
        <w:t xml:space="preserve">“</w:t>
      </w:r>
      <w:r>
        <w:t xml:space="preserve">inherently valuable</w:t>
      </w:r>
      <w:r>
        <w:t xml:space="preserve">”</w:t>
      </w:r>
      <w:r>
        <w:t xml:space="preserve"> </w:t>
      </w:r>
      <w:r>
        <w:t xml:space="preserve">and because §641 expressly reaches anyone who</w:t>
      </w:r>
      <w:r>
        <w:t xml:space="preserve"> </w:t>
      </w:r>
      <w:r>
        <w:t xml:space="preserve">“</w:t>
      </w:r>
      <w:r>
        <w:t xml:space="preserve">sells any record of the United States.</w:t>
      </w:r>
      <w:r>
        <w:t xml:space="preserve">”</w:t>
      </w:r>
      <w:r>
        <w:t xml:space="preserve"> </w:t>
      </w:r>
      <w:r>
        <w:rPr>
          <w:iCs/>
          <w:i/>
        </w:rPr>
        <w:t xml:space="preserve">United States v. Rodrigues</w:t>
      </w:r>
      <w:r>
        <w:t xml:space="preserve">, No. 22-cr-391, 2024 WL 113744, at</w:t>
      </w:r>
      <w:r>
        <w:t xml:space="preserve"> </w:t>
      </w:r>
      <w:r>
        <w:rPr>
          <w:iCs/>
          <w:i/>
        </w:rPr>
        <w:t xml:space="preserve">4-5 (S.D.N.Y. Jan. 10, 2024) (NLRB records sold to a</w:t>
      </w:r>
      <w:r>
        <w:rPr>
          <w:iCs/>
          <w:i/>
        </w:rPr>
        <w:t xml:space="preserve"> </w:t>
      </w:r>
      <w:r>
        <w:rPr>
          <w:iCs/>
          <w:i/>
        </w:rPr>
        <w:t xml:space="preserve">consultant). Information about a classified UAP program is closer to</w:t>
      </w:r>
      <w:r>
        <w:rPr>
          <w:iCs/>
          <w:i/>
        </w:rPr>
        <w:t xml:space="preserve"> </w:t>
      </w:r>
      <w:r>
        <w:t xml:space="preserve">Girard* than to</w:t>
      </w:r>
      <w:r>
        <w:t xml:space="preserve"> </w:t>
      </w:r>
      <w:r>
        <w:rPr>
          <w:iCs/>
          <w:i/>
        </w:rPr>
        <w:t xml:space="preserve">Blaszczak</w:t>
      </w:r>
      <w:r>
        <w:t xml:space="preserve">: its value to the</w:t>
      </w:r>
      <w:r>
        <w:t xml:space="preserve"> </w:t>
      </w:r>
      <w:r>
        <w:t xml:space="preserve">government lies in keeping it secret, and its disclosure is the harm the classification system exists to prevent.</w:t>
      </w:r>
      <w:r>
        <w:t xml:space="preserve"> </w:t>
      </w:r>
      <w:r>
        <w:rPr>
          <w:iCs/>
          <w:i/>
        </w:rPr>
        <w:t xml:space="preserve">Blaszczak</w:t>
      </w:r>
      <w:r>
        <w:t xml:space="preserve"> </w:t>
      </w:r>
      <w:r>
        <w:t xml:space="preserve">therefore gives a discloser of intangible program information an argument, but a weak one, and §641</w:t>
      </w:r>
      <w:r>
        <w:t xml:space="preserve"> </w:t>
      </w:r>
      <w:r>
        <w:t xml:space="preserve">remains a serious risk for anyone who removes or sells physical records, media, or recovered material, which are</w:t>
      </w:r>
      <w:r>
        <w:t xml:space="preserve"> </w:t>
      </w:r>
      <w:r>
        <w:t xml:space="preserve">government property in the ordinary sense.</w:t>
      </w:r>
    </w:p>
    <w:p>
      <w:r>
        <w:pict>
          <v:rect style="width:0;height:1.5pt" o:hralign="center" o:hrstd="t" o:hr="t"/>
        </w:pict>
      </w:r>
    </w:p>
    <w:bookmarkEnd w:id="24"/>
    <w:bookmarkStart w:id="28" w:name="leading-cases"/>
    <w:p>
      <w:pPr>
        <w:pStyle w:val="Heading2"/>
      </w:pPr>
      <w:r>
        <w:t xml:space="preserve">3. Leading cases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Morison</w:t>
      </w:r>
      <w:r>
        <w:t xml:space="preserve"> </w:t>
      </w:r>
      <w:r>
        <w:t xml:space="preserve">(4th Cir. 1988): a Navy analyst who gave classified satellite photographs to</w:t>
      </w:r>
      <w:r>
        <w:t xml:space="preserve"> </w:t>
      </w:r>
      <w:r>
        <w:rPr>
          <w:iCs/>
          <w:i/>
        </w:rPr>
        <w:t xml:space="preserve">Jane’s Defence</w:t>
      </w:r>
      <w:r>
        <w:rPr>
          <w:iCs/>
          <w:i/>
        </w:rPr>
        <w:t xml:space="preserve"> </w:t>
      </w:r>
      <w:r>
        <w:rPr>
          <w:iCs/>
          <w:i/>
        </w:rPr>
        <w:t xml:space="preserve">Weekly</w:t>
      </w:r>
      <w:r>
        <w:t xml:space="preserve"> </w:t>
      </w:r>
      <w:r>
        <w:t xml:space="preserve">was convicted under §793(d) and (e); the court rejected the argument that §793 is limited to</w:t>
      </w:r>
      <w:r>
        <w:t xml:space="preserve"> </w:t>
      </w:r>
      <w:r>
        <w:t xml:space="preserve">classic espionage and held that disclosure to the press is covered.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Rosen</w:t>
      </w:r>
      <w:r>
        <w:t xml:space="preserve"> </w:t>
      </w:r>
      <w:r>
        <w:t xml:space="preserve">(E.D. Va. 2006): §793 reaches non-government recipients who pass NDI on; information must be</w:t>
      </w:r>
      <w:r>
        <w:t xml:space="preserve"> </w:t>
      </w:r>
      <w:r>
        <w:t xml:space="preserve">closely held; for intangible information the government must show a bad-faith purpose to harm the</w:t>
      </w:r>
      <w:r>
        <w:t xml:space="preserve"> </w:t>
      </w:r>
      <w:r>
        <w:t xml:space="preserve">United States or aid a foreign government; the government’s closely held confirmation of public</w:t>
      </w:r>
      <w:r>
        <w:t xml:space="preserve"> </w:t>
      </w:r>
      <w:r>
        <w:t xml:space="preserve">information can itself be NDI. 445 F. Supp. 2d 602 (</w:t>
      </w:r>
      <w:hyperlink r:id="rId25">
        <w:r>
          <w:rPr>
            <w:rStyle w:val="Hyperlink"/>
          </w:rPr>
          <w:t xml:space="preserve">Issue B4</w:t>
        </w:r>
      </w:hyperlink>
      <w:r>
        <w:t xml:space="preserve">). The same court later refused to apply the</w:t>
      </w:r>
      <w:r>
        <w:t xml:space="preserve"> </w:t>
      </w:r>
      <w:r>
        <w:t xml:space="preserve">bad-faith requirement to a trained government employee (</w:t>
      </w:r>
      <w:r>
        <w:rPr>
          <w:iCs/>
          <w:i/>
        </w:rPr>
        <w:t xml:space="preserve">Kiriakou</w:t>
      </w:r>
      <w:r>
        <w:t xml:space="preserve">, below).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Sterling</w:t>
      </w:r>
      <w:r>
        <w:t xml:space="preserve"> </w:t>
      </w:r>
      <w:r>
        <w:t xml:space="preserve">(4th Cir. 2017): a former CIA officer was convicted for disclosing classified information</w:t>
      </w:r>
      <w:r>
        <w:t xml:space="preserve"> </w:t>
      </w:r>
      <w:r>
        <w:t xml:space="preserve">about a covert program to a journalist. According to the indictment and trial coverage, Sterling had raised his</w:t>
      </w:r>
      <w:r>
        <w:t xml:space="preserve"> </w:t>
      </w:r>
      <w:r>
        <w:t xml:space="preserve">concerns about the program with two Senate Intelligence Committee staff members in March 2003, an</w:t>
      </w:r>
      <w:r>
        <w:t xml:space="preserve"> </w:t>
      </w:r>
      <w:r>
        <w:t xml:space="preserve">authorized channel; the government used that meeting as evidence of motive, and the earlier authorized</w:t>
      </w:r>
      <w:r>
        <w:t xml:space="preserve"> </w:t>
      </w:r>
      <w:r>
        <w:t xml:space="preserve">contact gave no protection for the later disclosure to a reporter. (The Fourth Circuit opinion does not</w:t>
      </w:r>
      <w:r>
        <w:t xml:space="preserve"> </w:t>
      </w:r>
      <w:r>
        <w:t xml:space="preserve">discuss the meeting.) The court affirmed most counts and vacated one on venue grounds. 860 F.3d 233.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Schulte</w:t>
      </w:r>
      <w:r>
        <w:t xml:space="preserve"> </w:t>
      </w:r>
      <w:r>
        <w:t xml:space="preserve">(S.D.N.Y. 2021): files containing CIA work product on classified cyber tools were NDI;</w:t>
      </w:r>
      <w:r>
        <w:t xml:space="preserve"> </w:t>
      </w:r>
      <w:r>
        <w:t xml:space="preserve">evidence supported transmission and retention counts, but not a count based on disclosure of a network</w:t>
      </w:r>
      <w:r>
        <w:t xml:space="preserve"> </w:t>
      </w:r>
      <w:r>
        <w:t xml:space="preserve">connection the government had not shown to be closely held; false statements and obstruction</w:t>
      </w:r>
      <w:r>
        <w:t xml:space="preserve"> </w:t>
      </w:r>
      <w:r>
        <w:t xml:space="preserve">convictions also supported. 578 F. Supp. 3d 596.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Other recent prosecutions</w:t>
      </w:r>
      <w:r>
        <w:t xml:space="preserve"> </w:t>
      </w:r>
      <w:r>
        <w:t xml:space="preserve">(outcomes as announced by the Department of Justice):</w:t>
      </w:r>
      <w:r>
        <w:t xml:space="preserve"> </w:t>
      </w:r>
      <w:r>
        <w:rPr>
          <w:iCs/>
          <w:i/>
        </w:rPr>
        <w:t xml:space="preserve">United States v. Kim</w:t>
      </w:r>
      <w:r>
        <w:t xml:space="preserve">, No. 1:10-cr-225 (D.D.C.) (808 F. Supp. 2d 44, 52-57 (D.D.C. 2011)</w:t>
      </w:r>
      <w:r>
        <w:t xml:space="preserve"> </w:t>
      </w:r>
      <w:r>
        <w:t xml:space="preserve">(denying motions to dismiss: §793(d) is not vague as applied to oral disclosure of NDI by a cleared official, and</w:t>
      </w:r>
      <w:r>
        <w:t xml:space="preserve"> </w:t>
      </w:r>
      <w:r>
        <w:t xml:space="preserve">the official, who had a duty not to disclose,</w:t>
      </w:r>
      <w:r>
        <w:t xml:space="preserve"> </w:t>
      </w:r>
      <w:r>
        <w:t xml:space="preserve">“</w:t>
      </w:r>
      <w:r>
        <w:t xml:space="preserve">cannot use the First Amendment to cloak his breach of that duty</w:t>
      </w:r>
      <w:r>
        <w:t xml:space="preserve">”</w:t>
      </w:r>
      <w:r>
        <w:t xml:space="preserve">));</w:t>
      </w:r>
      <w:r>
        <w:t xml:space="preserve"> </w:t>
      </w:r>
      <w:r>
        <w:rPr>
          <w:iCs/>
          <w:i/>
        </w:rPr>
        <w:t xml:space="preserve">United States v. Drake</w:t>
      </w:r>
      <w:r>
        <w:t xml:space="preserve">, No. 1:10-cr-181 (D. Md.);</w:t>
      </w:r>
      <w:r>
        <w:t xml:space="preserve"> </w:t>
      </w:r>
      <w:r>
        <w:rPr>
          <w:iCs/>
          <w:i/>
        </w:rPr>
        <w:t xml:space="preserve">United States v. Winner</w:t>
      </w:r>
      <w:r>
        <w:t xml:space="preserve">, No.</w:t>
      </w:r>
      <w:r>
        <w:t xml:space="preserve"> </w:t>
      </w:r>
      <w:r>
        <w:t xml:space="preserve">1:17-cr-34 (S.D. Ga.);</w:t>
      </w:r>
      <w:r>
        <w:t xml:space="preserve"> </w:t>
      </w:r>
      <w:r>
        <w:rPr>
          <w:iCs/>
          <w:i/>
        </w:rPr>
        <w:t xml:space="preserve">United States v. Teixeira</w:t>
      </w:r>
      <w:r>
        <w:t xml:space="preserve">, No. 1:23-cr-10159 (D. Mass.);</w:t>
      </w:r>
      <w:r>
        <w:t xml:space="preserve"> </w:t>
      </w:r>
      <w:r>
        <w:rPr>
          <w:iCs/>
          <w:i/>
        </w:rPr>
        <w:t xml:space="preserve">United States v. Hale</w:t>
      </w:r>
      <w:r>
        <w:t xml:space="preserve">,</w:t>
      </w:r>
      <w:r>
        <w:t xml:space="preserve"> </w:t>
      </w:r>
      <w:r>
        <w:t xml:space="preserve">No. 1:19-cr-59 (E.D. Va.) (drone-program documents given to a reporter; guilty plea under §793(e); sentenced</w:t>
      </w:r>
      <w:r>
        <w:t xml:space="preserve"> </w:t>
      </w:r>
      <w:r>
        <w:t xml:space="preserve">July 2021). Stephen Kim, a State Department contractor, pleaded guilty in 2014 to one §793 count for giving a North</w:t>
      </w:r>
      <w:r>
        <w:t xml:space="preserve"> </w:t>
      </w:r>
      <w:r>
        <w:t xml:space="preserve">Korea intelligence assessment to a Fox News reporter and received 13 months. Thomas Drake, an NSA official</w:t>
      </w:r>
      <w:r>
        <w:t xml:space="preserve"> </w:t>
      </w:r>
      <w:r>
        <w:t xml:space="preserve">charged under §793(e) in 2010, saw the felony counts dropped in 2011 and pleaded to a misdemeanor of</w:t>
      </w:r>
      <w:r>
        <w:t xml:space="preserve"> </w:t>
      </w:r>
      <w:r>
        <w:t xml:space="preserve">exceeding authorized use of a government computer, with probation and community service. Reality Winner,</w:t>
      </w:r>
      <w:r>
        <w:t xml:space="preserve"> </w:t>
      </w:r>
      <w:r>
        <w:t xml:space="preserve">an NSA contractor, pleaded guilty under §793(e) in 2018 to giving a classified report to a news outlet and</w:t>
      </w:r>
      <w:r>
        <w:t xml:space="preserve"> </w:t>
      </w:r>
      <w:r>
        <w:t xml:space="preserve">received 63 months. Jack Teixeira, an Air National Guardsman, pleaded guilty in March 2024 to six counts of</w:t>
      </w:r>
      <w:r>
        <w:t xml:space="preserve"> </w:t>
      </w:r>
      <w:r>
        <w:t xml:space="preserve">willful retention and transmission of national defense information posted on a social media platform and</w:t>
      </w:r>
      <w:r>
        <w:t xml:space="preserve"> </w:t>
      </w:r>
      <w:r>
        <w:t xml:space="preserve">was sentenced on November 12, 2024 to 15 years (D. Mass.). The trend is toward longer sentences and toward</w:t>
      </w:r>
      <w:r>
        <w:t xml:space="preserve"> </w:t>
      </w:r>
      <w:r>
        <w:t xml:space="preserve">prosecution of retention as well as transmission.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Whistleblower motive.</w:t>
      </w:r>
      <w:r>
        <w:t xml:space="preserve"> </w:t>
      </w:r>
      <w:r>
        <w:t xml:space="preserve">Courts exclude or limit evidence of good motive and do not recognize a public</w:t>
      </w:r>
      <w:r>
        <w:t xml:space="preserve"> </w:t>
      </w:r>
      <w:r>
        <w:t xml:space="preserve">interest defense to §793. In the prosecution of former CIA officer John Kiriakou, charged under the information</w:t>
      </w:r>
      <w:r>
        <w:t xml:space="preserve"> </w:t>
      </w:r>
      <w:r>
        <w:t xml:space="preserve">clause of §793(d) for disclosures to journalists, Judge Brinkema declined to follow</w:t>
      </w:r>
      <w:r>
        <w:t xml:space="preserve"> </w:t>
      </w:r>
      <w:r>
        <w:rPr>
          <w:iCs/>
          <w:i/>
        </w:rPr>
        <w:t xml:space="preserve">Rosen</w:t>
      </w:r>
      <w:r>
        <w:t xml:space="preserve">’s bad-faith gloss on the</w:t>
      </w:r>
      <w:r>
        <w:t xml:space="preserve"> </w:t>
      </w:r>
      <w:r>
        <w:t xml:space="preserve">“</w:t>
      </w:r>
      <w:r>
        <w:t xml:space="preserve">reason to believe</w:t>
      </w:r>
      <w:r>
        <w:t xml:space="preserve">”</w:t>
      </w:r>
      <w:r>
        <w:t xml:space="preserve"> </w:t>
      </w:r>
      <w:r>
        <w:t xml:space="preserve">element. She distinguished</w:t>
      </w:r>
      <w:r>
        <w:t xml:space="preserve"> </w:t>
      </w:r>
      <w:r>
        <w:rPr>
          <w:iCs/>
          <w:i/>
        </w:rPr>
        <w:t xml:space="preserve">Rosen</w:t>
      </w:r>
      <w:r>
        <w:t xml:space="preserve"> </w:t>
      </w:r>
      <w:r>
        <w:t xml:space="preserve">because Kiriakou was</w:t>
      </w:r>
      <w:r>
        <w:t xml:space="preserve"> </w:t>
      </w:r>
      <w:r>
        <w:t xml:space="preserve">“</w:t>
      </w:r>
      <w:r>
        <w:t xml:space="preserve">a government employee trained in the</w:t>
      </w:r>
      <w:r>
        <w:t xml:space="preserve"> </w:t>
      </w:r>
      <w:r>
        <w:t xml:space="preserve">classification system</w:t>
      </w:r>
      <w:r>
        <w:t xml:space="preserve">”</w:t>
      </w:r>
      <w:r>
        <w:t xml:space="preserve"> </w:t>
      </w:r>
      <w:r>
        <w:t xml:space="preserve">who was</w:t>
      </w:r>
      <w:r>
        <w:t xml:space="preserve"> </w:t>
      </w:r>
      <w:r>
        <w:t xml:space="preserve">“</w:t>
      </w:r>
      <w:r>
        <w:t xml:space="preserve">on clear notice of the illegality of his alleged communications,</w:t>
      </w:r>
      <w:r>
        <w:t xml:space="preserve">”</w:t>
      </w:r>
      <w:r>
        <w:t xml:space="preserve"> </w:t>
      </w:r>
      <w:r>
        <w:t xml:space="preserve">noted the Fourth</w:t>
      </w:r>
      <w:r>
        <w:t xml:space="preserve"> </w:t>
      </w:r>
      <w:r>
        <w:t xml:space="preserve">Circuit’s concern that</w:t>
      </w:r>
      <w:r>
        <w:t xml:space="preserve"> </w:t>
      </w:r>
      <w:r>
        <w:rPr>
          <w:iCs/>
          <w:i/>
        </w:rPr>
        <w:t xml:space="preserve">Rosen</w:t>
      </w:r>
      <w:r>
        <w:t xml:space="preserve"> </w:t>
      </w:r>
      <w:r>
        <w:t xml:space="preserve">imposed a burden</w:t>
      </w:r>
      <w:r>
        <w:t xml:space="preserve"> </w:t>
      </w:r>
      <w:r>
        <w:t xml:space="preserve">“</w:t>
      </w:r>
      <w:r>
        <w:t xml:space="preserve">not mandated by the governing statute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United States v. Rosen</w:t>
      </w:r>
      <w:r>
        <w:t xml:space="preserve">,</w:t>
      </w:r>
      <w:r>
        <w:t xml:space="preserve"> </w:t>
      </w:r>
      <w:r>
        <w:t xml:space="preserve">557 F.3d 192, 199 n.8 (4th Cir. 2009)), and held that the clause requires only that the possessor had reason to</w:t>
      </w:r>
      <w:r>
        <w:t xml:space="preserve"> </w:t>
      </w:r>
      <w:r>
        <w:t xml:space="preserve">believe the information could be used to injure the United States or aid a foreign nation. Evidence that he</w:t>
      </w:r>
      <w:r>
        <w:t xml:space="preserve"> </w:t>
      </w:r>
      <w:r>
        <w:t xml:space="preserve">“</w:t>
      </w:r>
      <w:r>
        <w:t xml:space="preserve">acted</w:t>
      </w:r>
      <w:r>
        <w:t xml:space="preserve"> </w:t>
      </w:r>
      <w:r>
        <w:t xml:space="preserve">with a salutary motive, or that he acted without a subversive motive,</w:t>
      </w:r>
      <w:r>
        <w:t xml:space="preserve">”</w:t>
      </w:r>
      <w:r>
        <w:t xml:space="preserve"> </w:t>
      </w:r>
      <w:r>
        <w:t xml:space="preserve">was therefore</w:t>
      </w:r>
      <w:r>
        <w:t xml:space="preserve"> </w:t>
      </w:r>
      <w:r>
        <w:t xml:space="preserve">“</w:t>
      </w:r>
      <w:r>
        <w:t xml:space="preserve">not relevant.</w:t>
      </w:r>
      <w:r>
        <w:t xml:space="preserve">”</w:t>
      </w:r>
      <w:r>
        <w:t xml:space="preserve"> </w:t>
      </w:r>
      <w:r>
        <w:rPr>
          <w:iCs/>
          <w:i/>
        </w:rPr>
        <w:t xml:space="preserve">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 v. Kiriakou</w:t>
      </w:r>
      <w:r>
        <w:t xml:space="preserve">, 898 F. Supp. 2d 921, 925-27 (E.D. Va. 2012) (No. 1:12-cr-127); accord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Abu-Jihaad</w:t>
      </w:r>
      <w:r>
        <w:t xml:space="preserve">, 630 F.3d 102, 135-36 (2d Cir. 2010) (elements of §793(d) without intent to injure);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Diaz</w:t>
      </w:r>
      <w:r>
        <w:t xml:space="preserve">, 69 M.J. 127, 132-33 (C.A.A.F. 2010). Kiriakou later pleaded guilty under the Intelligence Identities</w:t>
      </w:r>
      <w:r>
        <w:t xml:space="preserve"> </w:t>
      </w:r>
      <w:r>
        <w:t xml:space="preserve">Protection Act. For a cleared insider, then, the</w:t>
      </w:r>
      <w:r>
        <w:t xml:space="preserve"> </w:t>
      </w:r>
      <w:r>
        <w:rPr>
          <w:iCs/>
          <w:i/>
        </w:rPr>
        <w:t xml:space="preserve">Rosen</w:t>
      </w:r>
      <w:r>
        <w:t xml:space="preserve"> </w:t>
      </w:r>
      <w:r>
        <w:t xml:space="preserve">bad-faith requirement is unlikely to be available in the</w:t>
      </w:r>
      <w:r>
        <w:t xml:space="preserve"> </w:t>
      </w:r>
      <w:r>
        <w:t xml:space="preserve">Eastern District of Virginia; it remains arguable for a non-government recipient such as a journalist or</w:t>
      </w:r>
      <w:r>
        <w:t xml:space="preserve"> </w:t>
      </w:r>
      <w:r>
        <w:t xml:space="preserve">publisher, the posture</w:t>
      </w:r>
      <w:r>
        <w:t xml:space="preserve"> </w:t>
      </w:r>
      <w:r>
        <w:rPr>
          <w:iCs/>
          <w:i/>
        </w:rPr>
        <w:t xml:space="preserve">Rosen</w:t>
      </w:r>
      <w:r>
        <w:t xml:space="preserve"> </w:t>
      </w:r>
      <w:r>
        <w:t xml:space="preserve">addressed.</w:t>
      </w:r>
    </w:p>
    <w:p>
      <w:r>
        <w:pict>
          <v:rect style="width:0;height:1.5pt" o:hralign="center" o:hrstd="t" o:hr="t"/>
        </w:pict>
      </w:r>
    </w:p>
    <w:bookmarkStart w:id="27" w:name="sentencing-and-prosecution-practice"/>
    <w:p>
      <w:pPr>
        <w:pStyle w:val="Heading3"/>
      </w:pPr>
      <w:r>
        <w:t xml:space="preserve">3.1 Sentencing and prosecution practice</w:t>
      </w:r>
    </w:p>
    <w:p>
      <w:pPr>
        <w:pStyle w:val="FirstParagraph"/>
      </w:pPr>
      <w:r>
        <w:t xml:space="preserve">The Sentencing Guidelines set high base offense levels for these offenses: under §2M3.2 (gathering national defense</w:t>
      </w:r>
      <w:r>
        <w:t xml:space="preserve"> </w:t>
      </w:r>
      <w:r>
        <w:t xml:space="preserve">information) the base level is 35 if the information was top secret and 30 otherwise, and under §2M3.3 (transmitting</w:t>
      </w:r>
      <w:r>
        <w:t xml:space="preserve"> </w:t>
      </w:r>
      <w:r>
        <w:t xml:space="preserve">it) 29 and 24. Those levels explain the long sentences in</w:t>
      </w:r>
      <w:r>
        <w:t xml:space="preserve"> </w:t>
      </w:r>
      <w:r>
        <w:rPr>
          <w:iCs/>
          <w:i/>
        </w:rPr>
        <w:t xml:space="preserve">Winner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Teixeira</w:t>
      </w:r>
      <w:r>
        <w:t xml:space="preserve">. Prosecutions remain rare compared</w:t>
      </w:r>
      <w:r>
        <w:t xml:space="preserve"> </w:t>
      </w:r>
      <w:r>
        <w:t xml:space="preserve">with the number of unauthorized disclosures, which scholars attribute to the government’s own selective use of leaks.</w:t>
      </w:r>
      <w:r>
        <w:t xml:space="preserve"> </w:t>
      </w:r>
      <w:r>
        <w:t xml:space="preserve">David E. Pozen,</w:t>
      </w:r>
      <w:r>
        <w:t xml:space="preserve"> </w:t>
      </w:r>
      <w:r>
        <w:rPr>
          <w:iCs/>
          <w:i/>
        </w:rPr>
        <w:t xml:space="preserve">The Leaky Leviathan: Why the Government Condemns and Condones Unlawful Disclosures of Information</w:t>
      </w:r>
      <w:r>
        <w:t xml:space="preserve">, 127</w:t>
      </w:r>
      <w:r>
        <w:t xml:space="preserve"> </w:t>
      </w:r>
      <w:r>
        <w:t xml:space="preserve">Harv. L. Rev. 512 (2013). The rarity is no comfort to a client, since the cases that are brought are the ones in which</w:t>
      </w:r>
      <w:r>
        <w:t xml:space="preserve"> </w:t>
      </w:r>
      <w:r>
        <w:t xml:space="preserve">the disclosure embarrassed or threatened the agency.</w:t>
      </w:r>
    </w:p>
    <w:p>
      <w:pPr>
        <w:pStyle w:val="BodyText"/>
      </w:pPr>
      <w:r>
        <w:rPr>
          <w:bCs/>
          <w:b/>
        </w:rPr>
        <w:t xml:space="preserve">Classified evidence in the prosecution.</w:t>
      </w:r>
      <w:r>
        <w:t xml:space="preserve"> </w:t>
      </w:r>
      <w:r>
        <w:t xml:space="preserve">In a criminal case the Classified Information Procedures Act governs: a</w:t>
      </w:r>
      <w:r>
        <w:t xml:space="preserve"> </w:t>
      </w:r>
      <w:r>
        <w:t xml:space="preserve">pretrial conference (CIPA §2), a protective order (§3), government motions to delete or substitute classified</w:t>
      </w:r>
      <w:r>
        <w:t xml:space="preserve"> </w:t>
      </w:r>
      <w:r>
        <w:t xml:space="preserve">discovery (§4), the defendant’s mandatory notice of any classified information he expects to disclose (§5), and a</w:t>
      </w:r>
      <w:r>
        <w:t xml:space="preserve"> </w:t>
      </w:r>
      <w:r>
        <w:t xml:space="preserve">hearing on its use, relevance, and admissibility, with substitutions (§6). Defense counsel must obtain a clearance</w:t>
      </w:r>
      <w:r>
        <w:t xml:space="preserve"> </w:t>
      </w:r>
      <w:r>
        <w:t xml:space="preserve">early (</w:t>
      </w:r>
      <w:hyperlink r:id="rId26">
        <w:r>
          <w:rPr>
            <w:rStyle w:val="Hyperlink"/>
          </w:rPr>
          <w:t xml:space="preserve">Issue C4</w:t>
        </w:r>
      </w:hyperlink>
      <w:r>
        <w:t xml:space="preserve">).</w:t>
      </w:r>
    </w:p>
    <w:bookmarkEnd w:id="27"/>
    <w:bookmarkEnd w:id="28"/>
    <w:bookmarkStart w:id="30" w:name="how-3373b-changes-the-analysis"/>
    <w:p>
      <w:pPr>
        <w:pStyle w:val="Heading2"/>
      </w:pPr>
      <w:r>
        <w:t xml:space="preserve">4. How §3373b changes the analysis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Authorized disclosure to AARO.</w:t>
      </w:r>
      <w:r>
        <w:t xml:space="preserve"> </w:t>
      </w:r>
      <w:r>
        <w:t xml:space="preserve">§3373b(b)(1)(C) removes criminal liability under any</w:t>
      </w:r>
      <w:r>
        <w:t xml:space="preserve"> </w:t>
      </w:r>
      <w:r>
        <w:t xml:space="preserve">“</w:t>
      </w:r>
      <w:r>
        <w:t xml:space="preserve">provision of</w:t>
      </w:r>
      <w:r>
        <w:t xml:space="preserve"> </w:t>
      </w:r>
      <w:r>
        <w:t xml:space="preserve">law relating to the disclosure of information</w:t>
      </w:r>
      <w:r>
        <w:t xml:space="preserve">”</w:t>
      </w:r>
      <w:r>
        <w:t xml:space="preserve"> </w:t>
      </w:r>
      <w:r>
        <w:t xml:space="preserve">for a disclosure through the mechanism. It also deems</w:t>
      </w:r>
      <w:r>
        <w:t xml:space="preserve"> </w:t>
      </w:r>
      <w:r>
        <w:t xml:space="preserve">the disclosure compliant with EO 13526 and Atomic Energy Act rules, which should also defeat §1924</w:t>
      </w:r>
      <w:r>
        <w:t xml:space="preserve"> </w:t>
      </w:r>
      <w:r>
        <w:t xml:space="preserve">and Restricted Data theories as to the act of disclosure.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Retention before disclosure.</w:t>
      </w:r>
      <w:r>
        <w:t xml:space="preserve"> </w:t>
      </w:r>
      <w:r>
        <w:t xml:space="preserve">The statute protects the disclosure itself. Prior unauthorized retention remains outside it.</w:t>
      </w:r>
      <w:r>
        <w:t xml:space="preserve"> </w:t>
      </w:r>
      <w:r>
        <w:t xml:space="preserve">A client who kept classified material at home to support a disclosure remains exposed under §1924 and</w:t>
      </w:r>
      <w:r>
        <w:t xml:space="preserve"> </w:t>
      </w:r>
      <w:r>
        <w:t xml:space="preserve">§793(e) for the retention. Counsel should arrange for the return of any such material through</w:t>
      </w:r>
      <w:r>
        <w:t xml:space="preserve"> </w:t>
      </w:r>
      <w:r>
        <w:t xml:space="preserve">security channels before or together with the disclosure, without themselves taking possession.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Onward disclosure.</w:t>
      </w:r>
      <w:r>
        <w:t xml:space="preserve"> </w:t>
      </w:r>
      <w:r>
        <w:t xml:space="preserve">A disclosure to AARO followed by a disclosure of the same information to a</w:t>
      </w:r>
      <w:r>
        <w:t xml:space="preserve"> </w:t>
      </w:r>
      <w:r>
        <w:t xml:space="preserve">journalist is protected only as to the first.</w:t>
      </w:r>
      <w:r>
        <w:t xml:space="preserve"> </w:t>
      </w:r>
      <w:r>
        <w:rPr>
          <w:iCs/>
          <w:i/>
        </w:rPr>
        <w:t xml:space="preserve">Sterling</w:t>
      </w:r>
      <w:r>
        <w:t xml:space="preserve"> </w:t>
      </w:r>
      <w:r>
        <w:t xml:space="preserve">illustrates the risk.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PURSUE.</w:t>
      </w:r>
      <w:r>
        <w:t xml:space="preserve"> </w:t>
      </w:r>
      <w:r>
        <w:t xml:space="preserve">The waiver addresses civil and administrative NDA enforcement only. A prosecutor would face</w:t>
      </w:r>
      <w:r>
        <w:t xml:space="preserve"> </w:t>
      </w:r>
      <w:r>
        <w:t xml:space="preserve">a strong argument that a communication authorized by the Department of War was not to a person</w:t>
      </w:r>
      <w:r>
        <w:t xml:space="preserve"> </w:t>
      </w:r>
      <w:r>
        <w:t xml:space="preserve">“</w:t>
      </w:r>
      <w:r>
        <w:t xml:space="preserve">not</w:t>
      </w:r>
      <w:r>
        <w:t xml:space="preserve"> </w:t>
      </w:r>
      <w:r>
        <w:t xml:space="preserve">entitled to receive it</w:t>
      </w:r>
      <w:r>
        <w:t xml:space="preserve">”</w:t>
      </w:r>
      <w:r>
        <w:t xml:space="preserve"> </w:t>
      </w:r>
      <w:r>
        <w:t xml:space="preserve">and was not willful, but the safer course is to use §3373b, which is</w:t>
      </w:r>
      <w:r>
        <w:t xml:space="preserve"> </w:t>
      </w:r>
      <w:r>
        <w:t xml:space="preserve">statutory.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Congress.</w:t>
      </w:r>
      <w:r>
        <w:t xml:space="preserve"> </w:t>
      </w:r>
      <w:r>
        <w:t xml:space="preserve">Disclosures to the intelligence committees through the ICIG urgent-concern process are</w:t>
      </w:r>
      <w:r>
        <w:t xml:space="preserve"> </w:t>
      </w:r>
      <w:r>
        <w:t xml:space="preserve">authorized (50 U.S.C. §3033(k)(5)). Disclosures of classified information to individual members or</w:t>
      </w:r>
      <w:r>
        <w:t xml:space="preserve"> </w:t>
      </w:r>
      <w:r>
        <w:t xml:space="preserve">staff outside that process, or to members who lack access, are not clearly authorized.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 channel the site assumes is compromised.</w:t>
      </w:r>
      <w:r>
        <w:t xml:space="preserve"> </w:t>
      </w:r>
      <w:r>
        <w:t xml:space="preserve">On the site’s premise that AARO is part of the concealment, the</w:t>
      </w:r>
      <w:r>
        <w:t xml:space="preserve"> </w:t>
      </w:r>
      <w:r>
        <w:t xml:space="preserve">§3373b protection is still worth having, because it attaches by statute to the act of authorized disclosure. The</w:t>
      </w:r>
      <w:r>
        <w:t xml:space="preserve"> </w:t>
      </w:r>
      <w:r>
        <w:t xml:space="preserve">risk is practical: AARO may share what it learns with the program the client reports on, and a later prosecutor</w:t>
      </w:r>
      <w:r>
        <w:t xml:space="preserve"> </w:t>
      </w:r>
      <w:r>
        <w:t xml:space="preserve">may dispute whether a contact was made through the</w:t>
      </w:r>
      <w:r>
        <w:t xml:space="preserve"> </w:t>
      </w:r>
      <w:r>
        <w:t xml:space="preserve">“</w:t>
      </w:r>
      <w:r>
        <w:t xml:space="preserve">mechanism for authorized reporting.</w:t>
      </w:r>
      <w:r>
        <w:t xml:space="preserve">”</w:t>
      </w:r>
      <w:r>
        <w:t xml:space="preserve"> </w:t>
      </w:r>
      <w:r>
        <w:t xml:space="preserve">Get written</w:t>
      </w:r>
      <w:r>
        <w:t xml:space="preserve"> </w:t>
      </w:r>
      <w:r>
        <w:t xml:space="preserve">confirmation of the channel before the disclosure (</w:t>
      </w:r>
      <w:hyperlink r:id="rId29">
        <w:r>
          <w:rPr>
            <w:rStyle w:val="Hyperlink"/>
          </w:rPr>
          <w:t xml:space="preserve">Form C1-1</w:t>
        </w:r>
      </w:hyperlink>
      <w:r>
        <w:t xml:space="preserve">).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Criminal exposure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NDA / civil exposure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Clearance and employment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Reprisal remedy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AARO mechanism (§3373b)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 for the disclosure itself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 (§3373b(b)(1)(A))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Reprisal prohibited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§3373b(b)(2); IG procedures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PURSUE (DoW waiver)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addressed by the waiver; strong authorization argument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Waived for PURSUE communications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addressed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Existing law only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Inspector general / ICIG urgent concern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Authorized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Reprisal prohibited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§3234; §3341(j); §1034; §4701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Committee through proper channels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Reprisal prohibited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Individual member outside channels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Unclear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Possible breach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Uncertain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Journalist, podcast, social media, book without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(§§793(d)-(e), 798)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Breach;</w:t>
            </w:r>
            <w:r>
              <w:t xml:space="preserve"> </w:t>
            </w:r>
            <w:r>
              <w:rPr>
                <w:iCs/>
                <w:i/>
              </w:rPr>
              <w:t xml:space="preserve">Snepp</w:t>
            </w:r>
            <w:r>
              <w:t xml:space="preserve"> </w:t>
            </w:r>
            <w:r>
              <w:t xml:space="preserve">constructive trust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Revocation likely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1" w:name="past-program-conduct"/>
    <w:p>
      <w:pPr>
        <w:pStyle w:val="Heading2"/>
      </w:pPr>
      <w:r>
        <w:t xml:space="preserve">5. Past program conduct</w:t>
      </w:r>
    </w:p>
    <w:p>
      <w:pPr>
        <w:pStyle w:val="FirstParagraph"/>
      </w:pPr>
      <w:r>
        <w:t xml:space="preserve">Program participants may have exposure for acts unrelated to disclosure: false statements to Congress</w:t>
      </w:r>
      <w:r>
        <w:t xml:space="preserve"> </w:t>
      </w:r>
      <w:r>
        <w:t xml:space="preserve">(18 U.S.C. §1001), obstruction (§1505), destruction of records (18 U.S.C. §2071; and FY2024 NDAA</w:t>
      </w:r>
      <w:r>
        <w:t xml:space="preserve"> </w:t>
      </w:r>
      <w:r>
        <w:t xml:space="preserve">§1842(a)(2)(A) for UAP records), conspiracy to defraud the United States by concealing activities from</w:t>
      </w:r>
      <w:r>
        <w:t xml:space="preserve"> </w:t>
      </w:r>
      <w:r>
        <w:t xml:space="preserve">Congress (§371;</w:t>
      </w:r>
      <w:r>
        <w:t xml:space="preserve"> </w:t>
      </w:r>
      <w:r>
        <w:rPr>
          <w:iCs/>
          <w:i/>
        </w:rPr>
        <w:t xml:space="preserve">United States v. North</w:t>
      </w:r>
      <w:r>
        <w:t xml:space="preserve">, 708 F. Supp. 375 (D.D.C. 1988)), and Antideficiency Act</w:t>
      </w:r>
      <w:r>
        <w:t xml:space="preserve"> </w:t>
      </w:r>
      <w:r>
        <w:t xml:space="preserve">violations (administrative; criminal only if knowing and willful, 31 U.S.C. §1350). The general</w:t>
      </w:r>
      <w:r>
        <w:t xml:space="preserve"> </w:t>
      </w:r>
      <w:r>
        <w:t xml:space="preserve">limitations period is five years from the offense (18 U.S.C. §3282), with no limit for capital offenses</w:t>
      </w:r>
      <w:r>
        <w:t xml:space="preserve"> </w:t>
      </w:r>
      <w:r>
        <w:t xml:space="preserve">(§3281).</w:t>
      </w:r>
      <w:r>
        <w:t xml:space="preserve"> </w:t>
      </w:r>
      <w:hyperlink r:id="rId22">
        <w:r>
          <w:rPr>
            <w:rStyle w:val="Hyperlink"/>
          </w:rPr>
          <w:t xml:space="preserve">Issue D3</w:t>
        </w:r>
      </w:hyperlink>
      <w:r>
        <w:t xml:space="preserve"> </w:t>
      </w:r>
      <w:r>
        <w:t xml:space="preserve">analyzes these.</w:t>
      </w:r>
    </w:p>
    <w:p>
      <w:r>
        <w:pict>
          <v:rect style="width:0;height:1.5pt" o:hralign="center" o:hrstd="t" o:hr="t"/>
        </w:pict>
      </w:r>
    </w:p>
    <w:bookmarkEnd w:id="31"/>
    <w:bookmarkStart w:id="35" w:name="practice-guidance"/>
    <w:p>
      <w:pPr>
        <w:pStyle w:val="Heading2"/>
      </w:pPr>
      <w:r>
        <w:t xml:space="preserve">6. Practice guidance</w:t>
      </w:r>
    </w:p>
    <w:p>
      <w:pPr>
        <w:pStyle w:val="Compact"/>
        <w:numPr>
          <w:ilvl w:val="0"/>
          <w:numId w:val="1004"/>
        </w:numPr>
      </w:pPr>
      <w:r>
        <w:t xml:space="preserve">Advise clients in writing that public or press disclosure of classified information is a crime</w:t>
      </w:r>
      <w:r>
        <w:t xml:space="preserve"> </w:t>
      </w:r>
      <w:r>
        <w:t xml:space="preserve">regardless of motive and that statutory channels exist.</w:t>
      </w:r>
    </w:p>
    <w:p>
      <w:pPr>
        <w:pStyle w:val="Compact"/>
        <w:numPr>
          <w:ilvl w:val="0"/>
          <w:numId w:val="1004"/>
        </w:numPr>
      </w:pPr>
      <w:r>
        <w:t xml:space="preserve">Determine whether the client holds any classified material outside authorized storage; arrange its</w:t>
      </w:r>
      <w:r>
        <w:t xml:space="preserve"> </w:t>
      </w:r>
      <w:r>
        <w:t xml:space="preserve">return through the facility security officer or agency security office.</w:t>
      </w:r>
    </w:p>
    <w:p>
      <w:pPr>
        <w:pStyle w:val="Compact"/>
        <w:numPr>
          <w:ilvl w:val="0"/>
          <w:numId w:val="1004"/>
        </w:numPr>
      </w:pPr>
      <w:r>
        <w:t xml:space="preserve">Use §3373b for the disclosure (</w:t>
      </w:r>
      <w:hyperlink r:id="rId29">
        <w:r>
          <w:rPr>
            <w:rStyle w:val="Hyperlink"/>
          </w:rPr>
          <w:t xml:space="preserve">Form C1-1</w:t>
        </w:r>
      </w:hyperlink>
      <w:r>
        <w:t xml:space="preserve">); document authorization.</w:t>
      </w:r>
    </w:p>
    <w:p>
      <w:pPr>
        <w:pStyle w:val="Compact"/>
        <w:numPr>
          <w:ilvl w:val="0"/>
          <w:numId w:val="1004"/>
        </w:numPr>
      </w:pPr>
      <w:r>
        <w:t xml:space="preserve">Before any congressional or commission testimony about program conduct, assess exposure for past acts</w:t>
      </w:r>
      <w:r>
        <w:t xml:space="preserve"> </w:t>
      </w:r>
      <w:r>
        <w:t xml:space="preserve">and seek a proffer agreement or immunity (</w:t>
      </w:r>
      <w:hyperlink r:id="rId32">
        <w:r>
          <w:rPr>
            <w:rStyle w:val="Hyperlink"/>
          </w:rPr>
          <w:t xml:space="preserve">Issue B3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Form B3-2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Submit any public statement for prepublication review (</w:t>
      </w:r>
      <w:hyperlink r:id="rId34">
        <w:r>
          <w:rPr>
            <w:rStyle w:val="Hyperlink"/>
          </w:rPr>
          <w:t xml:space="preserve">Form B4-1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If the client is contacted by investigators, invoke counsel; consider the effect of any statement on</w:t>
      </w:r>
      <w:r>
        <w:t xml:space="preserve"> </w:t>
      </w:r>
      <w:r>
        <w:t xml:space="preserve">later immunity negotiations.</w:t>
      </w:r>
    </w:p>
    <w:p>
      <w:r>
        <w:pict>
          <v:rect style="width:0;height:1.5pt" o:hralign="center" o:hrstd="t" o:hr="t"/>
        </w:pict>
      </w:r>
    </w:p>
    <w:bookmarkEnd w:id="35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Criminal Exposure of UAP Insiders Who Disclose Information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b3-2.html" TargetMode="External"/><Relationship Id="rId34" Type="http://schemas.openxmlformats.org/officeDocument/2006/relationships/hyperlink" Target="https://nhilaw.com/forms/b4-1.html" TargetMode="External"/><Relationship Id="rId29" Type="http://schemas.openxmlformats.org/officeDocument/2006/relationships/hyperlink" Target="https://nhilaw.com/forms/c1-1.html" TargetMode="External"/><Relationship Id="rId32" Type="http://schemas.openxmlformats.org/officeDocument/2006/relationships/hyperlink" Target="https://nhilaw.com/issues/b3.html" TargetMode="External"/><Relationship Id="rId25" Type="http://schemas.openxmlformats.org/officeDocument/2006/relationships/hyperlink" Target="https://nhilaw.com/issues/b4.html" TargetMode="External"/><Relationship Id="rId26" Type="http://schemas.openxmlformats.org/officeDocument/2006/relationships/hyperlink" Target="https://nhilaw.com/issues/c4.html" TargetMode="External"/><Relationship Id="rId22" Type="http://schemas.openxmlformats.org/officeDocument/2006/relationships/hyperlink" Target="https://nhilaw.com/issues/d3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b3-2.html" TargetMode="External"/><Relationship Id="rId34" Type="http://schemas.openxmlformats.org/officeDocument/2006/relationships/hyperlink" Target="https://nhilaw.com/forms/b4-1.html" TargetMode="External"/><Relationship Id="rId29" Type="http://schemas.openxmlformats.org/officeDocument/2006/relationships/hyperlink" Target="https://nhilaw.com/forms/c1-1.html" TargetMode="External"/><Relationship Id="rId32" Type="http://schemas.openxmlformats.org/officeDocument/2006/relationships/hyperlink" Target="https://nhilaw.com/issues/b3.html" TargetMode="External"/><Relationship Id="rId25" Type="http://schemas.openxmlformats.org/officeDocument/2006/relationships/hyperlink" Target="https://nhilaw.com/issues/b4.html" TargetMode="External"/><Relationship Id="rId26" Type="http://schemas.openxmlformats.org/officeDocument/2006/relationships/hyperlink" Target="https://nhilaw.com/issues/c4.html" TargetMode="External"/><Relationship Id="rId22" Type="http://schemas.openxmlformats.org/officeDocument/2006/relationships/hyperlink" Target="https://nhilaw.com/issues/d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Exposure of UAP Insiders Who Disclose Information</dc:title>
  <dc:creator>nhilaw.com</dc:creator>
  <cp:keywords/>
  <dcterms:created xsi:type="dcterms:W3CDTF">2026-10-19T03:12:57Z</dcterms:created>
  <dcterms:modified xsi:type="dcterms:W3CDTF">2026-10-19T03:12:57Z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nhilaw.com/issues/c3.html</vt:lpwstr>
  </property>
</Properties>
</file>