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2000a0fcda858706331b38a6314c3a8bfa6c6ae"/>
    <w:p>
      <w:pPr>
        <w:pStyle w:val="Heading1"/>
      </w:pPr>
      <w:r>
        <w:t xml:space="preserve">Form C4-1. Engagement Letter Clauses for Representing a Current or Former Cleared Client in a UAP Matter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https://nhilaw.com/forms/c4-1.html</w:t>
      </w:r>
    </w:p>
    <w:p>
      <w:pPr>
        <w:pStyle w:val="BodyText"/>
        <w:spacing w:after="160" w:line="259" w:lineRule="auto"/>
      </w:pPr>
      <w:r>
        <w:rPr>
          <w:bCs/>
          <w:b/>
        </w:rPr>
        <w:t xml:space="preserve">When to use.</w:t>
      </w:r>
      <w:r>
        <w:t xml:space="preserve"> </w:t>
      </w:r>
      <w:r>
        <w:t xml:space="preserve">Engaging a current or former cleared client in a UAP matter.</w:t>
      </w:r>
      <w:r>
        <w:t xml:space="preserve"> </w:t>
      </w:r>
      <w:r>
        <w:rPr>
          <w:bCs/>
          <w:b/>
        </w:rPr>
        <w:t xml:space="preserve">Not for:</w:t>
      </w:r>
      <w:r>
        <w:t xml:space="preserve"> </w:t>
      </w:r>
      <w:r>
        <w:t xml:space="preserve">Ordinary engagements without classified-information issues.</w:t>
      </w:r>
    </w:p>
    <w:p>
      <w:pPr>
        <w:pStyle w:val="BodyText"/>
        <w:spacing w:after="160" w:line="259" w:lineRule="auto"/>
      </w:pPr>
      <w:r>
        <w:rPr>
          <w:bCs/>
          <w:b/>
        </w:rPr>
        <w:t xml:space="preserve">Deadlines.</w:t>
      </w:r>
      <w:r>
        <w:t xml:space="preserve"> </w:t>
      </w:r>
      <w:r>
        <w:t xml:space="preserve">Sign before the first substantive meeting.</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Scope of representation.</w:t>
      </w:r>
      <w:r>
        <w:t xml:space="preserve"> </w:t>
      </w:r>
      <w:r>
        <w:t xml:space="preserve">The Firm will advise you concerning [lawful channels for disclosing</w:t>
      </w:r>
      <w:r>
        <w:t xml:space="preserve"> </w:t>
      </w:r>
      <w:r>
        <w:t xml:space="preserve">information relating to unidentified anomalous phenomena; protection from reprisal; prepublication review;</w:t>
      </w:r>
      <w:r>
        <w:t xml:space="preserve"> </w:t>
      </w:r>
      <w:r>
        <w:t xml:space="preserve">your potential exposure for past conduct; testimony before Congress or a commission]. The representation</w:t>
      </w:r>
      <w:r>
        <w:t xml:space="preserve"> </w:t>
      </w:r>
      <w:r>
        <w:t xml:space="preserve">does not include [litigation, unless separately agreed].</w:t>
      </w:r>
    </w:p>
    <w:p>
      <w:pPr>
        <w:pStyle w:val="BodyText"/>
      </w:pPr>
      <w:r>
        <w:rPr>
          <w:bCs/>
          <w:b/>
        </w:rPr>
        <w:t xml:space="preserve">Security clearance proceedings.</w:t>
      </w:r>
      <w:r>
        <w:t xml:space="preserve"> </w:t>
      </w:r>
      <w:r>
        <w:t xml:space="preserve">[If included:] The representation includes your response to [the Statement of</w:t>
      </w:r>
      <w:r>
        <w:t xml:space="preserve"> </w:t>
      </w:r>
      <w:r>
        <w:t xml:space="preserve">Reasons dated ____ / any proceeding concerning your eligibility for access to classified information], including</w:t>
      </w:r>
      <w:r>
        <w:t xml:space="preserve"> </w:t>
      </w:r>
      <w:r>
        <w:t xml:space="preserve">[a written answer; a hearing before a Defense Office of Hearings and Appeals administrative judge under DoD</w:t>
      </w:r>
      <w:r>
        <w:t xml:space="preserve"> </w:t>
      </w:r>
      <w:r>
        <w:t xml:space="preserve">Directive 5220.6; any appeal to the DOHA Appeal Board / a personal appearance and appeal under your agency’s</w:t>
      </w:r>
      <w:r>
        <w:t xml:space="preserve"> </w:t>
      </w:r>
      <w:r>
        <w:t xml:space="preserve">procedures implementing Executive Order 12968 §5.2]. You authorize the Firm to request your investigative file from</w:t>
      </w:r>
      <w:r>
        <w:t xml:space="preserve"> </w:t>
      </w:r>
      <w:r>
        <w:t xml:space="preserve">the investigating agency under the Privacy Act and FOIA. If the clearance action follows a disclosure you made, the</w:t>
      </w:r>
      <w:r>
        <w:t xml:space="preserve"> </w:t>
      </w:r>
      <w:r>
        <w:t xml:space="preserve">Firm will raise reprisal and preserve it for review under 50 U.S.C. §3341(j).</w:t>
      </w:r>
    </w:p>
    <w:p>
      <w:pPr>
        <w:pStyle w:val="BodyText"/>
      </w:pPr>
      <w:r>
        <w:rPr>
          <w:bCs/>
          <w:b/>
        </w:rPr>
        <w:t xml:space="preserve">Classified information: your obligations.</w:t>
      </w:r>
      <w:r>
        <w:t xml:space="preserve"> </w:t>
      </w:r>
      <w:r>
        <w:t xml:space="preserve">You remain bound by your nondisclosure and special access</w:t>
      </w:r>
      <w:r>
        <w:t xml:space="preserve"> </w:t>
      </w:r>
      <w:r>
        <w:t xml:space="preserve">agreements except to the extent federal law authorizes a particular disclosure. You agree not to disclose</w:t>
      </w:r>
      <w:r>
        <w:t xml:space="preserve"> </w:t>
      </w:r>
      <w:r>
        <w:t xml:space="preserve">to the Firm, orally or in writing, any information you know or believe to be classified, unless and until</w:t>
      </w:r>
      <w:r>
        <w:t xml:space="preserve"> </w:t>
      </w:r>
      <w:r>
        <w:t xml:space="preserve">the Firm confirms in writing that the recipient lawyer holds an appropriate clearance and authorized access</w:t>
      </w:r>
      <w:r>
        <w:t xml:space="preserve"> </w:t>
      </w:r>
      <w:r>
        <w:t xml:space="preserve">for that information and that the disclosure will occur in an authorized setting.</w:t>
      </w:r>
    </w:p>
    <w:p>
      <w:pPr>
        <w:pStyle w:val="BodyText"/>
      </w:pPr>
      <w:r>
        <w:rPr>
          <w:bCs/>
          <w:b/>
        </w:rPr>
        <w:t xml:space="preserve">Classified information: the Firm’s practices.</w:t>
      </w:r>
      <w:r>
        <w:t xml:space="preserve"> </w:t>
      </w:r>
      <w:r>
        <w:t xml:space="preserve">[Lawyer] [does / does not] currently hold a security</w:t>
      </w:r>
      <w:r>
        <w:t xml:space="preserve"> </w:t>
      </w:r>
      <w:r>
        <w:t xml:space="preserve">clearance. The Firm will not knowingly receive, store, or transmit classified information except as</w:t>
      </w:r>
      <w:r>
        <w:t xml:space="preserve"> </w:t>
      </w:r>
      <w:r>
        <w:t xml:space="preserve">authorized. If the Firm receives material that appears to be classified, it will not review or copy it</w:t>
      </w:r>
      <w:r>
        <w:t xml:space="preserve"> </w:t>
      </w:r>
      <w:r>
        <w:t xml:space="preserve">and will seek guidance from the appropriate security office, which may require the Firm to return the</w:t>
      </w:r>
      <w:r>
        <w:t xml:space="preserve"> </w:t>
      </w:r>
      <w:r>
        <w:t xml:space="preserve">material to the Government. You consent to that process.</w:t>
      </w:r>
    </w:p>
    <w:p>
      <w:pPr>
        <w:pStyle w:val="BodyText"/>
      </w:pPr>
      <w:r>
        <w:rPr>
          <w:bCs/>
          <w:b/>
        </w:rPr>
        <w:t xml:space="preserve">Authorized channels.</w:t>
      </w:r>
      <w:r>
        <w:t xml:space="preserve"> </w:t>
      </w:r>
      <w:r>
        <w:t xml:space="preserve">The Firm will assist you in using channels authorized by law, including the</w:t>
      </w:r>
      <w:r>
        <w:t xml:space="preserve"> </w:t>
      </w:r>
      <w:r>
        <w:t xml:space="preserve">authorized reporting mechanism under 50 U.S.C. §3373b, inspector general and Intelligence Community</w:t>
      </w:r>
      <w:r>
        <w:t xml:space="preserve"> </w:t>
      </w:r>
      <w:r>
        <w:t xml:space="preserve">whistleblower procedures, and any authorized Department of War or other agency program. The Firm will not</w:t>
      </w:r>
      <w:r>
        <w:t xml:space="preserve"> </w:t>
      </w:r>
      <w:r>
        <w:t xml:space="preserve">assist in any disclosure that is not authorized by law.</w:t>
      </w:r>
    </w:p>
    <w:p>
      <w:pPr>
        <w:pStyle w:val="BodyText"/>
      </w:pPr>
      <w:r>
        <w:rPr>
          <w:bCs/>
          <w:b/>
        </w:rPr>
        <w:t xml:space="preserve">Prepublication review.</w:t>
      </w:r>
      <w:r>
        <w:t xml:space="preserve"> </w:t>
      </w:r>
      <w:r>
        <w:t xml:space="preserve">You agree to consult the Firm before making any public statement, publication,</w:t>
      </w:r>
      <w:r>
        <w:t xml:space="preserve"> </w:t>
      </w:r>
      <w:r>
        <w:t xml:space="preserve">interview, post, or presentation that concerns your former duties or UAP, so that it can be submitted for</w:t>
      </w:r>
      <w:r>
        <w:t xml:space="preserve"> </w:t>
      </w:r>
      <w:r>
        <w:t xml:space="preserve">any required prepublication review.</w:t>
      </w:r>
    </w:p>
    <w:p>
      <w:pPr>
        <w:pStyle w:val="BodyText"/>
      </w:pPr>
      <w:r>
        <w:rPr>
          <w:bCs/>
          <w:b/>
        </w:rPr>
        <w:t xml:space="preserve">Communications.</w:t>
      </w:r>
      <w:r>
        <w:t xml:space="preserve"> </w:t>
      </w:r>
      <w:r>
        <w:t xml:space="preserve">The Firm will communicate with you by [secure method]. Neither of us will use any</w:t>
      </w:r>
      <w:r>
        <w:t xml:space="preserve"> </w:t>
      </w:r>
      <w:r>
        <w:t xml:space="preserve">communication method for classified information.</w:t>
      </w:r>
    </w:p>
    <w:p>
      <w:pPr>
        <w:pStyle w:val="BodyText"/>
      </w:pPr>
      <w:r>
        <w:rPr>
          <w:bCs/>
          <w:b/>
        </w:rPr>
        <w:t xml:space="preserve">Protective orders.</w:t>
      </w:r>
      <w:r>
        <w:t xml:space="preserve"> </w:t>
      </w:r>
      <w:r>
        <w:t xml:space="preserve">In litigation the court may enter a protective order that lets cleared counsel see</w:t>
      </w:r>
      <w:r>
        <w:t xml:space="preserve"> </w:t>
      </w:r>
      <w:r>
        <w:t xml:space="preserve">classified information but forbids counsel from sharing it with you. If that happens, the Firm may be unable to tell</w:t>
      </w:r>
      <w:r>
        <w:t xml:space="preserve"> </w:t>
      </w:r>
      <w:r>
        <w:t xml:space="preserve">you what it has learned, and its advice to you may rest on information you cannot see. The Firm will not agree to such</w:t>
      </w:r>
      <w:r>
        <w:t xml:space="preserve"> </w:t>
      </w:r>
      <w:r>
        <w:t xml:space="preserve">an order on your behalf unless you consent in writing after we explain its terms. You consent in advance to the Firm</w:t>
      </w:r>
      <w:r>
        <w:t xml:space="preserve"> </w:t>
      </w:r>
      <w:r>
        <w:t xml:space="preserve">seeking access under such an order if [you initial here: ____].</w:t>
      </w:r>
    </w:p>
    <w:p>
      <w:pPr>
        <w:pStyle w:val="BodyText"/>
      </w:pPr>
      <w:r>
        <w:rPr>
          <w:bCs/>
          <w:b/>
        </w:rPr>
        <w:t xml:space="preserve">Fees and expenses for secure work.</w:t>
      </w:r>
      <w:r>
        <w:t xml:space="preserve"> </w:t>
      </w:r>
      <w:r>
        <w:t xml:space="preserve">Work performed in a SCIF or other secure facility is billed at the Firm’s</w:t>
      </w:r>
      <w:r>
        <w:t xml:space="preserve"> </w:t>
      </w:r>
      <w:r>
        <w:t xml:space="preserve">standard rates, including travel to and waiting time at the facility. Secure facilities often limit when counsel can</w:t>
      </w:r>
      <w:r>
        <w:t xml:space="preserve"> </w:t>
      </w:r>
      <w:r>
        <w:t xml:space="preserve">work and what counsel can bring, so such work can take longer than ordinary work. You will be billed for [travel;</w:t>
      </w:r>
      <w:r>
        <w:t xml:space="preserve"> </w:t>
      </w:r>
      <w:r>
        <w:t xml:space="preserve">courier and secure-delivery costs; costs of any cleared consultant or expert retained with your approval].</w:t>
      </w:r>
      <w:r>
        <w:t xml:space="preserve"> </w:t>
      </w:r>
      <w:r>
        <w:t xml:space="preserve">[Clearance processing for Firm personnel will / will not be billed to you.]</w:t>
      </w:r>
    </w:p>
    <w:p>
      <w:pPr>
        <w:pStyle w:val="BodyText"/>
      </w:pPr>
      <w:r>
        <w:rPr>
          <w:bCs/>
          <w:b/>
        </w:rPr>
        <w:t xml:space="preserve">Multiple clients.</w:t>
      </w:r>
      <w:r>
        <w:t xml:space="preserve"> </w:t>
      </w:r>
      <w:r>
        <w:t xml:space="preserve">The Firm [does not / does] represent other persons who worked on related programs.</w:t>
      </w:r>
      <w:r>
        <w:t xml:space="preserve"> </w:t>
      </w:r>
      <w:r>
        <w:t xml:space="preserve">[If it does, include informed-consent conflict waiver and limits on sharing information between clients.]</w:t>
      </w:r>
    </w:p>
    <w:p>
      <w:pPr>
        <w:pStyle w:val="BodyText"/>
      </w:pPr>
      <w:r>
        <w:rPr>
          <w:bCs/>
          <w:b/>
        </w:rPr>
        <w:t xml:space="preserve">Records.</w:t>
      </w:r>
      <w:r>
        <w:t xml:space="preserve"> </w:t>
      </w:r>
      <w:r>
        <w:t xml:space="preserve">The Firm’s file will be kept unclassified. At the end of the representation the Firm will</w:t>
      </w:r>
      <w:r>
        <w:t xml:space="preserve"> </w:t>
      </w:r>
      <w:r>
        <w:t xml:space="preserve">retain its file under its standard policy; any material later determined to be classified will be handled</w:t>
      </w:r>
      <w:r>
        <w:t xml:space="preserve"> </w:t>
      </w:r>
      <w:r>
        <w:t xml:space="preserve">as the responsible security office directs.</w:t>
      </w:r>
    </w:p>
    <w:p>
      <w:pPr>
        <w:pStyle w:val="BodyText"/>
      </w:pPr>
      <w:r>
        <w:rPr>
          <w:bCs/>
          <w:b/>
        </w:rPr>
        <w:t xml:space="preserve">Your acknowledgment.</w:t>
      </w:r>
      <w:r>
        <w:t xml:space="preserve"> </w:t>
      </w:r>
      <w:r>
        <w:t xml:space="preserve">By signing, you confirm that you have read these provisions, that you understand</w:t>
      </w:r>
      <w:r>
        <w:t xml:space="preserve"> </w:t>
      </w:r>
      <w:r>
        <w:t xml:space="preserve">you must not disclose classified information to the Firm except as described above, and that you have had</w:t>
      </w:r>
      <w:r>
        <w:t xml:space="preserve"> </w:t>
      </w:r>
      <w:r>
        <w:t xml:space="preserve">an opportunity to ask questions.</w:t>
      </w:r>
    </w:p>
    <w:bookmarkEnd w:id="20"/>
    <w:sectPr>
      <w:headerReference w:type="default" r:id="rId11"/>
      <w:footerReference w:type="default" r:id="rId12"/>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C4-1. Engagement Letter Clauses for Representing a Current or Former Cleared Client in a UAP Matter</dc:title>
  <dc:creator>nhilaw.com</dc:creator>
  <cp:keywords/>
  <dcterms:created xsi:type="dcterms:W3CDTF">2026-10-19T03:13:06Z</dcterms:created>
  <dcterms:modified xsi:type="dcterms:W3CDTF">2026-10-19T03:13:06Z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