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Representing Clients Who Hold or Held Security Clearances in UAP Matters</w:t>
      </w:r>
    </w:p>
    <w:p>
      <w:pPr>
        <w:pStyle w:val="Subtitle"/>
      </w:pPr>
      <w:r>
        <w:t xml:space="preserve">Version 1.10 · October 2026 · nhilaw.com/issues/c4.html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client’s most important facts may be classified and the lawyer may not be cleared to hear them; take only unclassified descriptions until access is arranged.</w:t>
      </w:r>
    </w:p>
    <w:p>
      <w:pPr>
        <w:pStyle w:val="Compact"/>
        <w:numPr>
          <w:ilvl w:val="0"/>
          <w:numId w:val="1001"/>
        </w:numPr>
      </w:pPr>
      <w:r>
        <w:t xml:space="preserve">The Justice Department’s position is that people holding classified information may not lawfully disclose it to uncleared counsel (Justice Manual 9-90.200).</w:t>
      </w:r>
    </w:p>
    <w:p>
      <w:pPr>
        <w:pStyle w:val="Compact"/>
        <w:numPr>
          <w:ilvl w:val="0"/>
          <w:numId w:val="1001"/>
        </w:numPr>
      </w:pPr>
      <w:r>
        <w:t xml:space="preserve">Washington Advisory Opinion 2134 permits counsel to accept a classified-information protective order if the client consents in writing after full disclosure of the limits.</w:t>
      </w:r>
    </w:p>
    <w:p>
      <w:pPr>
        <w:pStyle w:val="Compact"/>
        <w:numPr>
          <w:ilvl w:val="0"/>
          <w:numId w:val="1001"/>
        </w:numPr>
      </w:pPr>
      <w:r>
        <w:t xml:space="preserve">Clearance hearings (DOHA for contractors; agency procedures for federal employees) are where most cleared UAP clients win or lose; prepare under SEAD 4 Guidelines E, I and K.</w:t>
      </w:r>
    </w:p>
    <w:p>
      <w:pPr>
        <w:pStyle w:val="Compact"/>
        <w:numPr>
          <w:ilvl w:val="0"/>
          <w:numId w:val="1001"/>
        </w:numPr>
      </w:pPr>
      <w:r>
        <w:t xml:space="preserve">A lawyer who passes classified material outside authorized channels risks prosecution and disbarment (</w:t>
      </w:r>
      <w:r>
        <w:rPr>
          <w:iCs/>
          <w:i/>
        </w:rPr>
        <w:t xml:space="preserve">In re Diaz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1"/>
    <w:bookmarkStart w:id="22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Lawyers representing UAP insiders face a structural problem: the client’s most important facts may be</w:t>
      </w:r>
      <w:r>
        <w:t xml:space="preserve"> </w:t>
      </w:r>
      <w:r>
        <w:t xml:space="preserve">classified, and the lawyer may not be cleared to hear them. Disclosure of classified information to an</w:t>
      </w:r>
      <w:r>
        <w:t xml:space="preserve"> </w:t>
      </w:r>
      <w:r>
        <w:t xml:space="preserve">uncleared lawyer is not a protected disclosure and may itself be a crime. The lawyer must therefore</w:t>
      </w:r>
      <w:r>
        <w:t xml:space="preserve"> </w:t>
      </w:r>
      <w:r>
        <w:t xml:space="preserve">structure the representation so that classified facts flow only through authorized channels, while still</w:t>
      </w:r>
      <w:r>
        <w:t xml:space="preserve"> </w:t>
      </w:r>
      <w:r>
        <w:t xml:space="preserve">giving competent advice.</w:t>
      </w:r>
    </w:p>
    <w:p>
      <w:pPr>
        <w:pStyle w:val="BodyText"/>
      </w:pPr>
      <w:r>
        <w:t xml:space="preserve">The practical solutions are: (1) take only unclassified descriptions from the client; (2) obtain a</w:t>
      </w:r>
      <w:r>
        <w:t xml:space="preserve"> </w:t>
      </w:r>
      <w:r>
        <w:t xml:space="preserve">case-specific clearance or access through the agency, a court protective order, or an inspector general</w:t>
      </w:r>
      <w:r>
        <w:t xml:space="preserve"> </w:t>
      </w:r>
      <w:r>
        <w:t xml:space="preserve">proceeding when classified facts are necessary; (3) use authorized disclosure channels (50 U.S.C. §3373b;</w:t>
      </w:r>
      <w:r>
        <w:t xml:space="preserve"> </w:t>
      </w:r>
      <w:r>
        <w:t xml:space="preserve">IG; ICIG) for the substance; and (4) document the boundaries in the engagement letter.</w:t>
      </w:r>
    </w:p>
    <w:p>
      <w:r>
        <w:pict>
          <v:rect style="width:0;height:1.5pt" o:hralign="center" o:hrstd="t" o:hr="t"/>
        </w:pict>
      </w:r>
    </w:p>
    <w:bookmarkEnd w:id="22"/>
    <w:bookmarkStart w:id="24" w:name="ethical-framework"/>
    <w:p>
      <w:pPr>
        <w:pStyle w:val="Heading2"/>
      </w:pPr>
      <w:r>
        <w:t xml:space="preserve">2. Ethical framework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Competence and communication</w:t>
      </w:r>
      <w:r>
        <w:t xml:space="preserve"> </w:t>
      </w:r>
      <w:r>
        <w:t xml:space="preserve">(Model Rules 1.1, 1.4). The lawyer must understand the client’s</w:t>
      </w:r>
      <w:r>
        <w:t xml:space="preserve"> </w:t>
      </w:r>
      <w:r>
        <w:t xml:space="preserve">situation well enough to advise. Where classified facts are essential, competence may require obtaining</w:t>
      </w:r>
      <w:r>
        <w:t xml:space="preserve"> </w:t>
      </w:r>
      <w:r>
        <w:t xml:space="preserve">access or associating cleared counsel.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Confidentiality</w:t>
      </w:r>
      <w:r>
        <w:t xml:space="preserve"> </w:t>
      </w:r>
      <w:r>
        <w:t xml:space="preserve">(Model Rule 1.6). Classified information the lawyer receives is subject to both</w:t>
      </w:r>
      <w:r>
        <w:t xml:space="preserve"> </w:t>
      </w:r>
      <w:r>
        <w:t xml:space="preserve">Rule 1.6 and federal law. Federal law controls handling; Rule 1.6(b)(6) permits disclosure to comply with</w:t>
      </w:r>
      <w:r>
        <w:t xml:space="preserve"> </w:t>
      </w:r>
      <w:r>
        <w:t xml:space="preserve">law or court order.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Counseling about illegal conduct</w:t>
      </w:r>
      <w:r>
        <w:t xml:space="preserve"> </w:t>
      </w:r>
      <w:r>
        <w:t xml:space="preserve">(Model Rule 1.2(d)). A lawyer may not assist a client in an</w:t>
      </w:r>
      <w:r>
        <w:t xml:space="preserve"> </w:t>
      </w:r>
      <w:r>
        <w:t xml:space="preserve">unauthorized disclosure, but may explain lawful channels and the consequences of proposed conduct.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Possession of client materials.</w:t>
      </w:r>
      <w:r>
        <w:t xml:space="preserve"> </w:t>
      </w:r>
      <w:r>
        <w:t xml:space="preserve">A lawyer who receives documents that appear classified must not</w:t>
      </w:r>
      <w:r>
        <w:t xml:space="preserve"> </w:t>
      </w:r>
      <w:r>
        <w:t xml:space="preserve">retain or copy them and should contact the agency security office or the Department of Justice</w:t>
      </w:r>
      <w:r>
        <w:t xml:space="preserve"> </w:t>
      </w:r>
      <w:r>
        <w:t xml:space="preserve">Litigation Security Group for guidance. Retention by the lawyer can create exposure under 18 U.S.C.</w:t>
      </w:r>
      <w:r>
        <w:t xml:space="preserve"> </w:t>
      </w:r>
      <w:r>
        <w:t xml:space="preserve">§793(e).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The Justice Department’s position on uncleared counsel.</w:t>
      </w:r>
      <w:r>
        <w:t xml:space="preserve"> </w:t>
      </w:r>
      <w:r>
        <w:t xml:space="preserve">The Justice Manual states that</w:t>
      </w:r>
      <w:r>
        <w:t xml:space="preserve"> </w:t>
      </w:r>
      <w:r>
        <w:t xml:space="preserve">“</w:t>
      </w:r>
      <w:r>
        <w:t xml:space="preserve">witnesses,</w:t>
      </w:r>
      <w:r>
        <w:t xml:space="preserve"> </w:t>
      </w:r>
      <w:r>
        <w:t xml:space="preserve">subjects or targets of an investigation who have lawfully acquired classified information cannot lawfully</w:t>
      </w:r>
      <w:r>
        <w:t xml:space="preserve"> </w:t>
      </w:r>
      <w:r>
        <w:t xml:space="preserve">disclose such information to their uncleared attorneys,</w:t>
      </w:r>
      <w:r>
        <w:t xml:space="preserve">”</w:t>
      </w:r>
      <w:r>
        <w:t xml:space="preserve"> </w:t>
      </w:r>
      <w:r>
        <w:t xml:space="preserve">and that those attorneys</w:t>
      </w:r>
      <w:r>
        <w:t xml:space="preserve"> </w:t>
      </w:r>
      <w:r>
        <w:t xml:space="preserve">“</w:t>
      </w:r>
      <w:r>
        <w:t xml:space="preserve">should therefore either</w:t>
      </w:r>
      <w:r>
        <w:t xml:space="preserve"> </w:t>
      </w:r>
      <w:r>
        <w:t xml:space="preserve">obtain a security clearance that would allow access to the classified information or seek to have the</w:t>
      </w:r>
      <w:r>
        <w:t xml:space="preserve"> </w:t>
      </w:r>
      <w:r>
        <w:t xml:space="preserve">information declassified</w:t>
      </w:r>
      <w:r>
        <w:t xml:space="preserve">”</w:t>
      </w:r>
      <w:r>
        <w:t xml:space="preserve">; if counsel seeks declassification, the prosecutor must move for a protective order.</w:t>
      </w:r>
      <w:r>
        <w:t xml:space="preserve"> </w:t>
      </w:r>
      <w:r>
        <w:t xml:space="preserve">Justice Manual 9-90.200 (updated Jan. 2020). Uncleared counsel should take that</w:t>
      </w:r>
      <w:r>
        <w:t xml:space="preserve"> </w:t>
      </w:r>
      <w:r>
        <w:t xml:space="preserve">statement as the government’s working rule: interview the client only about unclassified matters, and start the</w:t>
      </w:r>
      <w:r>
        <w:t xml:space="preserve"> </w:t>
      </w:r>
      <w:r>
        <w:t xml:space="preserve">clearance or protective-order process early (</w:t>
      </w:r>
      <w:hyperlink r:id="rId23">
        <w:r>
          <w:rPr>
            <w:rStyle w:val="Hyperlink"/>
          </w:rPr>
          <w:t xml:space="preserve">Form C4-1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Conflicts.</w:t>
      </w:r>
      <w:r>
        <w:t xml:space="preserve"> </w:t>
      </w:r>
      <w:r>
        <w:t xml:space="preserve">Representing multiple witnesses from the same program raises conflicts if their accounts</w:t>
      </w:r>
      <w:r>
        <w:t xml:space="preserve"> </w:t>
      </w:r>
      <w:r>
        <w:t xml:space="preserve">or exposure diverge (Model Rule 1.7). Joint-defense or common-interest arrangements require care.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Discipline for disclosing classified information.</w:t>
      </w:r>
      <w:r>
        <w:t xml:space="preserve"> </w:t>
      </w:r>
      <w:r>
        <w:t xml:space="preserve">A lawyer who discloses classified information, even to</w:t>
      </w:r>
      <w:r>
        <w:t xml:space="preserve"> </w:t>
      </w:r>
      <w:r>
        <w:t xml:space="preserve">vindicate others’ legal rights, risks disbarment as well as prosecution. A Navy judge advocate at Guantánamo Bay</w:t>
      </w:r>
      <w:r>
        <w:t xml:space="preserve"> </w:t>
      </w:r>
      <w:r>
        <w:t xml:space="preserve">who mailed a classified list of detainees to a lawyer seeking to file habeas petitions for them was convicted by</w:t>
      </w:r>
      <w:r>
        <w:t xml:space="preserve"> </w:t>
      </w:r>
      <w:r>
        <w:t xml:space="preserve">court-martial and later disbarred. The Kansas Supreme Court held that the disclosure violated Rule 1.6(a) (confidentiality)</w:t>
      </w:r>
      <w:r>
        <w:t xml:space="preserve"> </w:t>
      </w:r>
      <w:r>
        <w:t xml:space="preserve">and Rule 8.4(b) (criminal act reflecting on fitness), rejected the argument that a virtuous motive mitigated the</w:t>
      </w:r>
      <w:r>
        <w:t xml:space="preserve"> </w:t>
      </w:r>
      <w:r>
        <w:t xml:space="preserve">misconduct, and noted the risk to the persons identified.</w:t>
      </w:r>
      <w:r>
        <w:t xml:space="preserve"> </w:t>
      </w:r>
      <w:r>
        <w:rPr>
          <w:iCs/>
          <w:i/>
        </w:rPr>
        <w:t xml:space="preserve">In re Diaz</w:t>
      </w:r>
      <w:r>
        <w:t xml:space="preserve">, 295 Kan. 1071, 1075-76, 1079-83 (2012).</w:t>
      </w:r>
      <w:r>
        <w:t xml:space="preserve"> </w:t>
      </w:r>
      <w:r>
        <w:t xml:space="preserve">A lawyer for a UAP whistleblower who receives classified material, or who is tempted to pass it to a committee or</w:t>
      </w:r>
      <w:r>
        <w:t xml:space="preserve"> </w:t>
      </w:r>
      <w:r>
        <w:t xml:space="preserve">the press outside authorized channels, faces the same exposure.</w:t>
      </w:r>
    </w:p>
    <w:p>
      <w:pPr>
        <w:pStyle w:val="FirstParagraph"/>
      </w:pPr>
      <w:r>
        <w:t xml:space="preserve">Few bar ethics opinions address classified information in a client representation. One is directly on point, and</w:t>
      </w:r>
      <w:r>
        <w:t xml:space="preserve"> </w:t>
      </w:r>
      <w:r>
        <w:t xml:space="preserve">several others apply by analogy: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Agreeing to a classified-information protective order.</w:t>
      </w:r>
      <w:r>
        <w:t xml:space="preserve"> </w:t>
      </w:r>
      <w:r>
        <w:t xml:space="preserve">Washington State Bar Advisory Opinion 2134 (2007)</w:t>
      </w:r>
      <w:r>
        <w:t xml:space="preserve"> </w:t>
      </w:r>
      <w:r>
        <w:t xml:space="preserve">(RPC 1.4, 1.7(b), 8.4) considered a lawyer asked to sign the memorandum of understanding and protective order</w:t>
      </w:r>
      <w:r>
        <w:t xml:space="preserve"> </w:t>
      </w:r>
      <w:r>
        <w:t xml:space="preserve">entered in</w:t>
      </w:r>
      <w:r>
        <w:t xml:space="preserve"> </w:t>
      </w:r>
      <w:r>
        <w:rPr>
          <w:iCs/>
          <w:i/>
        </w:rPr>
        <w:t xml:space="preserve">In re Guantanamo Detainee Cases</w:t>
      </w:r>
      <w:r>
        <w:t xml:space="preserve">, 344 F. Supp. 2d 174 (D.D.C. 2004), which bars counsel from sharing</w:t>
      </w:r>
      <w:r>
        <w:t xml:space="preserve"> </w:t>
      </w:r>
      <w:r>
        <w:t xml:space="preserve">classified information with anyone, the client included, without a further court order. Obeying the order does</w:t>
      </w:r>
      <w:r>
        <w:t xml:space="preserve"> </w:t>
      </w:r>
      <w:r>
        <w:t xml:space="preserve">not in itself violate the duty to keep the client informed, though the lawyer must tell the client about the</w:t>
      </w:r>
      <w:r>
        <w:t xml:space="preserve"> </w:t>
      </w:r>
      <w:r>
        <w:t xml:space="preserve">restrictions. The lawyer’s own exposure to sanctions creates a personal-interest conflict, which is consentable</w:t>
      </w:r>
      <w:r>
        <w:t xml:space="preserve"> </w:t>
      </w:r>
      <w:r>
        <w:t xml:space="preserve">because the order can be modified on motion if vital information comes to light. The lawyer may sign</w:t>
      </w:r>
      <w:r>
        <w:t xml:space="preserve"> </w:t>
      </w:r>
      <w:r>
        <w:t xml:space="preserve">“</w:t>
      </w:r>
      <w:r>
        <w:t xml:space="preserve">only if he</w:t>
      </w:r>
      <w:r>
        <w:t xml:space="preserve"> </w:t>
      </w:r>
      <w:r>
        <w:t xml:space="preserve">intends to abide by it,</w:t>
      </w:r>
      <w:r>
        <w:t xml:space="preserve">”</w:t>
      </w:r>
      <w:r>
        <w:t xml:space="preserve"> </w:t>
      </w:r>
      <w:r>
        <w:t xml:space="preserve">and only if the client gives written consent after full disclosure of the limits. Counsel</w:t>
      </w:r>
      <w:r>
        <w:t xml:space="preserve"> </w:t>
      </w:r>
      <w:r>
        <w:t xml:space="preserve">who accept a protective order or a nondisclosure agreement in a UAP matter (</w:t>
      </w:r>
      <w:hyperlink r:id="rId23">
        <w:r>
          <w:rPr>
            <w:rStyle w:val="Hyperlink"/>
          </w:rPr>
          <w:t xml:space="preserve">Form C4-1</w:t>
        </w:r>
      </w:hyperlink>
      <w:r>
        <w:t xml:space="preserve">) should obtain the same</w:t>
      </w:r>
      <w:r>
        <w:t xml:space="preserve"> </w:t>
      </w:r>
      <w:r>
        <w:t xml:space="preserve">written consent at the start of the engagement.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Clearance practice across state lines.</w:t>
      </w:r>
      <w:r>
        <w:t xml:space="preserve"> </w:t>
      </w:r>
      <w:r>
        <w:t xml:space="preserve">Maryland State Bar Association Ethics Docket 2016-05 allowed a lawyer</w:t>
      </w:r>
      <w:r>
        <w:t xml:space="preserve"> </w:t>
      </w:r>
      <w:r>
        <w:t xml:space="preserve">admitted in D.C. and Illinois, but not Maryland, to handle federal security-clearance appeals from a Maryland home</w:t>
      </w:r>
      <w:r>
        <w:t xml:space="preserve"> </w:t>
      </w:r>
      <w:r>
        <w:t xml:space="preserve">office, because federal law authorizes the appearance (Rule 5.5(d)), provided the practice is limited to those</w:t>
      </w:r>
      <w:r>
        <w:t xml:space="preserve"> </w:t>
      </w:r>
      <w:r>
        <w:t xml:space="preserve">federal matters and every communication states where the lawyer is admitted and that the practice is so limited.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Former government lawyers.</w:t>
      </w:r>
      <w:r>
        <w:t xml:space="preserve"> </w:t>
      </w:r>
      <w:r>
        <w:t xml:space="preserve">ABA Formal Opinion 509 (Feb. 28, 2024) construes Model Rule 1.11(c), which bars a</w:t>
      </w:r>
      <w:r>
        <w:t xml:space="preserve"> </w:t>
      </w:r>
      <w:r>
        <w:t xml:space="preserve">lawyer who knows</w:t>
      </w:r>
      <w:r>
        <w:t xml:space="preserve"> </w:t>
      </w:r>
      <w:r>
        <w:t xml:space="preserve">“</w:t>
      </w:r>
      <w:r>
        <w:t xml:space="preserve">confidential government information</w:t>
      </w:r>
      <w:r>
        <w:t xml:space="preserve">”</w:t>
      </w:r>
      <w:r>
        <w:t xml:space="preserve"> </w:t>
      </w:r>
      <w:r>
        <w:t xml:space="preserve">about a person, acquired in government service, from</w:t>
      </w:r>
      <w:r>
        <w:t xml:space="preserve"> </w:t>
      </w:r>
      <w:r>
        <w:t xml:space="preserve">representing a private client adverse to that person where the information could be used to that person’s</w:t>
      </w:r>
      <w:r>
        <w:t xml:space="preserve"> </w:t>
      </w:r>
      <w:r>
        <w:t xml:space="preserve">material disadvantage. The term covers information obtained under governmental authority that the government is</w:t>
      </w:r>
      <w:r>
        <w:t xml:space="preserve"> </w:t>
      </w:r>
      <w:r>
        <w:t xml:space="preserve">prohibited by law from disclosing or privileged not to disclose and that is not otherwise public, so classified</w:t>
      </w:r>
      <w:r>
        <w:t xml:space="preserve"> </w:t>
      </w:r>
      <w:r>
        <w:t xml:space="preserve">information about a contractor or an individual falls within it. The opinion reads paragraph (c) to reach current</w:t>
      </w:r>
      <w:r>
        <w:t xml:space="preserve"> </w:t>
      </w:r>
      <w:r>
        <w:t xml:space="preserve">as well as former government lawyers and treats the prohibition as not waivable by consent; the firm may proceed</w:t>
      </w:r>
      <w:r>
        <w:t xml:space="preserve"> </w:t>
      </w:r>
      <w:r>
        <w:t xml:space="preserve">only if the lawyer is timely screened and takes no part of the fee. California’s rule 1.11(c) is to the same</w:t>
      </w:r>
      <w:r>
        <w:t xml:space="preserve"> </w:t>
      </w:r>
      <w:r>
        <w:t xml:space="preserve">effect but is written for a lawyer</w:t>
      </w:r>
      <w:r>
        <w:t xml:space="preserve"> </w:t>
      </w:r>
      <w:r>
        <w:t xml:space="preserve">“</w:t>
      </w:r>
      <w:r>
        <w:t xml:space="preserve">who was a public official or employee.</w:t>
      </w:r>
      <w:r>
        <w:t xml:space="preserve">”</w:t>
      </w:r>
      <w:r>
        <w:t xml:space="preserve"> </w:t>
      </w:r>
      <w:r>
        <w:t xml:space="preserve">A former DoD, AARO, or contractor-side</w:t>
      </w:r>
      <w:r>
        <w:t xml:space="preserve"> </w:t>
      </w:r>
      <w:r>
        <w:t xml:space="preserve">government lawyer who now represents a whistleblower against a program contractor should run this check before</w:t>
      </w:r>
      <w:r>
        <w:t xml:space="preserve"> </w:t>
      </w:r>
      <w:r>
        <w:t xml:space="preserve">taking the matter.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Documents from an unauthorized source.</w:t>
      </w:r>
      <w:r>
        <w:t xml:space="preserve"> </w:t>
      </w:r>
      <w:r>
        <w:t xml:space="preserve">ABA Formal Opinion 06-440 (May 13, 2006) concludes that Model Rule</w:t>
      </w:r>
      <w:r>
        <w:t xml:space="preserve"> </w:t>
      </w:r>
      <w:r>
        <w:t xml:space="preserve">4.4(b) does not govern materials a lawyer receives deliberately from someone not authorized to provide them; the</w:t>
      </w:r>
      <w:r>
        <w:t xml:space="preserve"> </w:t>
      </w:r>
      <w:r>
        <w:t xml:space="preserve">consequences are left to other law. D.C. Legal Ethics Opinion 318 (Dec. 2002) is stricter: where a document is</w:t>
      </w:r>
      <w:r>
        <w:t xml:space="preserve"> </w:t>
      </w:r>
      <w:r>
        <w:t xml:space="preserve">privileged on its face, the lawyer knows it came from someone not authorized to disclose it, and there is no</w:t>
      </w:r>
      <w:r>
        <w:t xml:space="preserve"> </w:t>
      </w:r>
      <w:r>
        <w:t xml:space="preserve">reasonable basis to find a waiver, the lawyer should refrain from reviewing or using it and should return it or</w:t>
      </w:r>
      <w:r>
        <w:t xml:space="preserve"> </w:t>
      </w:r>
      <w:r>
        <w:t xml:space="preserve">ask the owner’s counsel about its status (D.C. Rules 1.15(b) and 8.4(c)). Virginia Legal Ethics Opinion 1786</w:t>
      </w:r>
      <w:r>
        <w:t xml:space="preserve"> </w:t>
      </w:r>
      <w:r>
        <w:t xml:space="preserve">(Dec. 10, 2004) addresses the whistleblower case directly: a client who brings the lawyer documents taken from an</w:t>
      </w:r>
      <w:r>
        <w:t xml:space="preserve"> </w:t>
      </w:r>
      <w:r>
        <w:t xml:space="preserve">employer. The lawyer may not conceal the documents to keep them from an opposing party (Rule 3.4(a)) or use them in</w:t>
      </w:r>
      <w:r>
        <w:t xml:space="preserve"> </w:t>
      </w:r>
      <w:r>
        <w:t xml:space="preserve">a way that violates the employer’s legal rights (Rule 4.4), and may not tell the client to gather evidence by means</w:t>
      </w:r>
      <w:r>
        <w:t xml:space="preserve"> </w:t>
      </w:r>
      <w:r>
        <w:t xml:space="preserve">the lawyer could not use (Rule 8.4(a)). Whether the lawyer must give notice or return the documents depends on</w:t>
      </w:r>
      <w:r>
        <w:t xml:space="preserve"> </w:t>
      </w:r>
      <w:r>
        <w:t xml:space="preserve">whether they are originals or copies, how they were obtained, and whether a statute such as the False Claims Act</w:t>
      </w:r>
      <w:r>
        <w:t xml:space="preserve"> </w:t>
      </w:r>
      <w:r>
        <w:t xml:space="preserve">imposes a sealing period. The opinion leaves criminal questions to the courts, citing</w:t>
      </w:r>
      <w:r>
        <w:t xml:space="preserve"> </w:t>
      </w:r>
      <w:r>
        <w:rPr>
          <w:iCs/>
          <w:i/>
        </w:rPr>
        <w:t xml:space="preserve">In re Ryder</w:t>
      </w:r>
      <w:r>
        <w:t xml:space="preserve"> </w:t>
      </w:r>
      <w:r>
        <w:t xml:space="preserve">on a lawyer’s</w:t>
      </w:r>
      <w:r>
        <w:t xml:space="preserve"> </w:t>
      </w:r>
      <w:r>
        <w:t xml:space="preserve">custody of stolen property. None of these opinions addresses classified material. For classified documents the</w:t>
      </w:r>
      <w:r>
        <w:t xml:space="preserve"> </w:t>
      </w:r>
      <w:r>
        <w:t xml:space="preserve">“</w:t>
      </w:r>
      <w:r>
        <w:t xml:space="preserve">other law</w:t>
      </w:r>
      <w:r>
        <w:t xml:space="preserve">”</w:t>
      </w:r>
      <w:r>
        <w:t xml:space="preserve"> </w:t>
      </w:r>
      <w:r>
        <w:t xml:space="preserve">is the controlling point: retaining them can violate 18 U.S.C. §793(e), so the handling rule under</w:t>
      </w:r>
      <w:r>
        <w:t xml:space="preserve"> </w:t>
      </w:r>
      <w:r>
        <w:t xml:space="preserve">“</w:t>
      </w:r>
      <w:r>
        <w:t xml:space="preserve">Possession of client materials</w:t>
      </w:r>
      <w:r>
        <w:t xml:space="preserve">”</w:t>
      </w:r>
      <w:r>
        <w:t xml:space="preserve"> </w:t>
      </w:r>
      <w:r>
        <w:t xml:space="preserve">in this section (no review beyond what</w:t>
      </w:r>
      <w:r>
        <w:t xml:space="preserve"> </w:t>
      </w:r>
      <w:r>
        <w:t xml:space="preserve">identifies the material, no copying, prompt contact with the security office or the Litigation Security Group)</w:t>
      </w:r>
      <w:r>
        <w:t xml:space="preserve"> </w:t>
      </w:r>
      <w:r>
        <w:t xml:space="preserve">applies whatever the bar’s rule on privileged documents.</w:t>
      </w:r>
    </w:p>
    <w:p>
      <w:r>
        <w:pict>
          <v:rect style="width:0;height:1.5pt" o:hralign="center" o:hrstd="t" o:hr="t"/>
        </w:pict>
      </w:r>
    </w:p>
    <w:bookmarkEnd w:id="24"/>
    <w:bookmarkStart w:id="32" w:name="gaining-access"/>
    <w:p>
      <w:pPr>
        <w:pStyle w:val="Heading2"/>
      </w:pPr>
      <w:r>
        <w:t xml:space="preserve">3. Gaining access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Agency-sponsored access.</w:t>
      </w:r>
      <w:r>
        <w:t xml:space="preserve"> </w:t>
      </w:r>
      <w:r>
        <w:t xml:space="preserve">Agencies sometimes grant counsel case-specific access to classified</w:t>
      </w:r>
      <w:r>
        <w:t xml:space="preserve"> </w:t>
      </w:r>
      <w:r>
        <w:t xml:space="preserve">information to permit representation in administrative proceedings (security clearance appeals, IG</w:t>
      </w:r>
      <w:r>
        <w:t xml:space="preserve"> </w:t>
      </w:r>
      <w:r>
        <w:t xml:space="preserve">reprisal investigations). Access depends on a clearance and a need-to-know determination by the agency.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Court-ordered procedures.</w:t>
      </w:r>
      <w:r>
        <w:t xml:space="preserve"> </w:t>
      </w:r>
      <w:r>
        <w:t xml:space="preserve">In litigation, protective orders and cleared-counsel arrangements are</w:t>
      </w:r>
      <w:r>
        <w:t xml:space="preserve"> </w:t>
      </w:r>
      <w:r>
        <w:t xml:space="preserve">available (</w:t>
      </w:r>
      <w:hyperlink r:id="rId25">
        <w:r>
          <w:rPr>
            <w:rStyle w:val="Hyperlink"/>
          </w:rPr>
          <w:t xml:space="preserve">Issue A1</w:t>
        </w:r>
      </w:hyperlink>
      <w:r>
        <w:t xml:space="preserve">;</w:t>
      </w:r>
      <w:r>
        <w:t xml:space="preserve"> </w:t>
      </w:r>
      <w:hyperlink r:id="rId26">
        <w:r>
          <w:rPr>
            <w:rStyle w:val="Hyperlink"/>
          </w:rPr>
          <w:t xml:space="preserve">Form A1-1</w:t>
        </w:r>
      </w:hyperlink>
      <w:r>
        <w:t xml:space="preserve">).</w:t>
      </w:r>
      <w:r>
        <w:t xml:space="preserve"> </w:t>
      </w:r>
      <w:r>
        <w:rPr>
          <w:iCs/>
          <w:i/>
        </w:rPr>
        <w:t xml:space="preserve">Stillman v. CIA</w:t>
      </w:r>
      <w:r>
        <w:t xml:space="preserve">, 319 F.3d 546 (D.C. Cir. 2003), held in a</w:t>
      </w:r>
      <w:r>
        <w:t xml:space="preserve"> </w:t>
      </w:r>
      <w:r>
        <w:t xml:space="preserve">prepublication case that a court should first decide whether material is classified, and reach the</w:t>
      </w:r>
      <w:r>
        <w:t xml:space="preserve"> </w:t>
      </w:r>
      <w:r>
        <w:t xml:space="preserve">question of counsel access only if necessary (district court abused its discretion by first deciding whether</w:t>
      </w:r>
      <w:r>
        <w:t xml:space="preserve"> </w:t>
      </w:r>
      <w:r>
        <w:t xml:space="preserve">the First Amendment gave the author’s attorney a right of access to the manuscript before determining whether it</w:t>
      </w:r>
      <w:r>
        <w:t xml:space="preserve"> </w:t>
      </w:r>
      <w:r>
        <w:t xml:space="preserve">could decide the classification question without counsel’s aid).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How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Stillman</w:t>
      </w:r>
      <w:r>
        <w:rPr>
          <w:bCs/>
          <w:b/>
        </w:rPr>
        <w:t xml:space="preserve"> </w:t>
      </w:r>
      <w:r>
        <w:rPr>
          <w:bCs/>
          <w:b/>
        </w:rPr>
        <w:t xml:space="preserve">is applied.</w:t>
      </w:r>
      <w:r>
        <w:t xml:space="preserve"> </w:t>
      </w:r>
      <w:r>
        <w:t xml:space="preserve">District courts in the D.C. Circuit treat</w:t>
      </w:r>
      <w:r>
        <w:t xml:space="preserve"> </w:t>
      </w:r>
      <w:r>
        <w:rPr>
          <w:iCs/>
          <w:i/>
        </w:rPr>
        <w:t xml:space="preserve">Stillman</w:t>
      </w:r>
      <w:r>
        <w:t xml:space="preserve"> </w:t>
      </w:r>
      <w:r>
        <w:t xml:space="preserve">as a two-stage sequence and</w:t>
      </w:r>
      <w:r>
        <w:t xml:space="preserve"> </w:t>
      </w:r>
      <w:r>
        <w:t xml:space="preserve">almost never reach the second stage. In</w:t>
      </w:r>
      <w:r>
        <w:t xml:space="preserve"> </w:t>
      </w:r>
      <w:r>
        <w:rPr>
          <w:iCs/>
          <w:i/>
        </w:rPr>
        <w:t xml:space="preserve">Shaffer v. Defense Intelligence Agency</w:t>
      </w:r>
      <w:r>
        <w:t xml:space="preserve">, 102 F. Supp. 3d 1, 14-15 &amp; n.16</w:t>
      </w:r>
      <w:r>
        <w:t xml:space="preserve"> </w:t>
      </w:r>
      <w:r>
        <w:t xml:space="preserve">(D.D.C. 2015), the court decided the classification challenge on ex parte, in camera submissions, so counsel</w:t>
      </w:r>
      <w:r>
        <w:t xml:space="preserve"> </w:t>
      </w:r>
      <w:r>
        <w:t xml:space="preserve">access was</w:t>
      </w:r>
      <w:r>
        <w:t xml:space="preserve"> </w:t>
      </w:r>
      <w:r>
        <w:t xml:space="preserve">“</w:t>
      </w:r>
      <w:r>
        <w:t xml:space="preserve">not necessary</w:t>
      </w:r>
      <w:r>
        <w:t xml:space="preserve">”</w:t>
      </w:r>
      <w:r>
        <w:t xml:space="preserve">; it also noted that counsel’s clearances granted for other clients’ matters did not</w:t>
      </w:r>
      <w:r>
        <w:t xml:space="preserve"> </w:t>
      </w:r>
      <w:r>
        <w:t xml:space="preserve">extend to this one. In</w:t>
      </w:r>
      <w:r>
        <w:t xml:space="preserve"> </w:t>
      </w:r>
      <w:r>
        <w:rPr>
          <w:iCs/>
          <w:i/>
        </w:rPr>
        <w:t xml:space="preserve">Lawless v. Department of Defense</w:t>
      </w:r>
      <w:r>
        <w:t xml:space="preserve">, No. 21-2859, 2024 WL 4263851, at</w:t>
      </w:r>
      <w:r>
        <w:t xml:space="preserve"> </w:t>
      </w:r>
      <w:r>
        <w:rPr>
          <w:iCs/>
          <w:i/>
        </w:rPr>
        <w:t xml:space="preserve">5 n.3 (D.D.C. Sept.</w:t>
      </w:r>
      <w:r>
        <w:rPr>
          <w:iCs/>
          <w:i/>
        </w:rPr>
        <w:t xml:space="preserve"> </w:t>
      </w:r>
      <w:r>
        <w:rPr>
          <w:iCs/>
          <w:i/>
        </w:rPr>
        <w:t xml:space="preserve">23, 2024), the author asked for an in camera classified discussion, a special master, or access for his counsel;</w:t>
      </w:r>
      <w:r>
        <w:rPr>
          <w:iCs/>
          <w:i/>
        </w:rPr>
        <w:t xml:space="preserve"> </w:t>
      </w:r>
      <w:r>
        <w:rPr>
          <w:iCs/>
          <w:i/>
        </w:rPr>
        <w:t xml:space="preserve">the court held those procedures would be appropriate only if in camera review could not resolve the dispute, and it</w:t>
      </w:r>
      <w:r>
        <w:rPr>
          <w:iCs/>
          <w:i/>
        </w:rPr>
        <w:t xml:space="preserve"> </w:t>
      </w:r>
      <w:r>
        <w:rPr>
          <w:iCs/>
          <w:i/>
        </w:rPr>
        <w:t xml:space="preserve">could. The one opinion that ordered access for cleared counsel,</w:t>
      </w:r>
      <w:r>
        <w:rPr>
          <w:iCs/>
          <w:i/>
        </w:rPr>
        <w:t xml:space="preserve"> </w:t>
      </w:r>
      <w:r>
        <w:t xml:space="preserve">Horn v. Huddle</w:t>
      </w:r>
      <w:r>
        <w:rPr>
          <w:iCs/>
          <w:i/>
        </w:rPr>
        <w:t xml:space="preserve">, 647 F. Supp. 2d 55, 60-66</w:t>
      </w:r>
      <w:r>
        <w:rPr>
          <w:iCs/>
          <w:i/>
        </w:rPr>
        <w:t xml:space="preserve"> </w:t>
      </w:r>
      <w:r>
        <w:rPr>
          <w:iCs/>
          <w:i/>
        </w:rPr>
        <w:t xml:space="preserve">(D.D.C. 2009) (holding that once the court has done the first</w:t>
      </w:r>
      <w:r>
        <w:rPr>
          <w:iCs/>
          <w:i/>
        </w:rPr>
        <w:t xml:space="preserve"> </w:t>
      </w:r>
      <w:r>
        <w:t xml:space="preserve">Stillman* step, it may decide that cleared counsel</w:t>
      </w:r>
      <w:r>
        <w:t xml:space="preserve"> </w:t>
      </w:r>
      <w:r>
        <w:t xml:space="preserve">have a need to know in litigation), was vacated on March 30, 2010 as part of a settlement, and it carries only the</w:t>
      </w:r>
      <w:r>
        <w:t xml:space="preserve"> </w:t>
      </w:r>
      <w:r>
        <w:t xml:space="preserve">weight of its reasoning. Counsel seeking access should therefore build a record that in camera review cannot</w:t>
      </w:r>
      <w:r>
        <w:t xml:space="preserve"> </w:t>
      </w:r>
      <w:r>
        <w:t xml:space="preserve">resolve the dispute without them: identify specific facts or sources the court cannot evaluate alone, and offer a</w:t>
      </w:r>
      <w:r>
        <w:t xml:space="preserve"> </w:t>
      </w:r>
      <w:r>
        <w:t xml:space="preserve">classified declaration from the client through the agency’s own channels.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Retaliation against counsel.</w:t>
      </w:r>
      <w:r>
        <w:t xml:space="preserve"> </w:t>
      </w:r>
      <w:r>
        <w:t xml:space="preserve">In 2025 a presidential memorandum directed agencies to revoke the clearance of</w:t>
      </w:r>
      <w:r>
        <w:t xml:space="preserve"> </w:t>
      </w:r>
      <w:r>
        <w:t xml:space="preserve">national security attorney Mark Zaid, who had represented whistleblowers. In</w:t>
      </w:r>
      <w:r>
        <w:t xml:space="preserve"> </w:t>
      </w:r>
      <w:r>
        <w:rPr>
          <w:iCs/>
          <w:i/>
        </w:rPr>
        <w:t xml:space="preserve">Zaid v. Executive Office of the</w:t>
      </w:r>
      <w:r>
        <w:rPr>
          <w:iCs/>
          <w:i/>
        </w:rPr>
        <w:t xml:space="preserve"> </w:t>
      </w:r>
      <w:r>
        <w:rPr>
          <w:iCs/>
          <w:i/>
        </w:rPr>
        <w:t xml:space="preserve">President</w:t>
      </w:r>
      <w:r>
        <w:t xml:space="preserve">, 815 F. Supp. 3d 113 (D.D.C. Dec. 23, 2025) (Ali, J.), the court held that the political question</w:t>
      </w:r>
      <w:r>
        <w:t xml:space="preserve"> </w:t>
      </w:r>
      <w:r>
        <w:t xml:space="preserve">doctrine did not bar procedural challenges to the summary revocation; found Zaid likely to succeed on First</w:t>
      </w:r>
      <w:r>
        <w:t xml:space="preserve"> </w:t>
      </w:r>
      <w:r>
        <w:t xml:space="preserve">Amendment retaliation, procedural due process, and his clients’ Fifth Amendment right to counsel of choice; held</w:t>
      </w:r>
      <w:r>
        <w:t xml:space="preserve"> </w:t>
      </w:r>
      <w:r>
        <w:t xml:space="preserve">the APA, vagueness, and bill of attainder claims adequately pleaded; and granted a preliminary injunction in part.</w:t>
      </w:r>
      <w:r>
        <w:t xml:space="preserve"> </w:t>
      </w:r>
      <w:r>
        <w:t xml:space="preserve">An appeal was filed in the D.C. Circuit on January 13, 2026, and argued on May 14, 2026.</w:t>
      </w:r>
      <w:r>
        <w:t xml:space="preserve"> </w:t>
      </w:r>
      <w:r>
        <w:rPr>
          <w:iCs/>
          <w:i/>
        </w:rPr>
        <w:t xml:space="preserve">Zaid</w:t>
      </w:r>
      <w:r>
        <w:t xml:space="preserve"> </w:t>
      </w:r>
      <w:r>
        <w:t xml:space="preserve">distinguishes procedural</w:t>
      </w:r>
      <w:r>
        <w:t xml:space="preserve"> </w:t>
      </w:r>
      <w:r>
        <w:t xml:space="preserve">challenges to a summary revocation from the substantive clearance judgments that</w:t>
      </w:r>
      <w:r>
        <w:t xml:space="preserve"> </w:t>
      </w:r>
      <w:r>
        <w:rPr>
          <w:iCs/>
          <w:i/>
        </w:rPr>
        <w:t xml:space="preserve">Egan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Lee v. Garland</w:t>
      </w:r>
      <w:r>
        <w:t xml:space="preserve"> </w:t>
      </w:r>
      <w:r>
        <w:t xml:space="preserve">place beyond review, a line practitioners can use (</w:t>
      </w:r>
      <w:hyperlink r:id="rId27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Start w:id="28" w:name="how-private-counsel-actually-gets-access"/>
    <w:p>
      <w:pPr>
        <w:pStyle w:val="Heading3"/>
      </w:pPr>
      <w:r>
        <w:t xml:space="preserve">3.1 How private counsel actually gets access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Criminal cases.</w:t>
      </w:r>
      <w:r>
        <w:t xml:space="preserve"> </w:t>
      </w:r>
      <w:r>
        <w:t xml:space="preserve">Defense counsel apply through the Department of Justice Litigation Security Group, which runs</w:t>
      </w:r>
      <w:r>
        <w:t xml:space="preserve"> </w:t>
      </w:r>
      <w:r>
        <w:t xml:space="preserve">the background investigation for defense teams under the CIPA protective order; the court can order processing,</w:t>
      </w:r>
      <w:r>
        <w:t xml:space="preserve"> </w:t>
      </w:r>
      <w:r>
        <w:t xml:space="preserve">and interim access is sometimes granted for urgent work.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Civil cases.</w:t>
      </w:r>
      <w:r>
        <w:t xml:space="preserve"> </w:t>
      </w:r>
      <w:r>
        <w:t xml:space="preserve">Access depends on the agency’s sponsorship and a need-to-know determination, which the court may</w:t>
      </w:r>
      <w:r>
        <w:t xml:space="preserve"> </w:t>
      </w:r>
      <w:r>
        <w:t xml:space="preserve">ask the agency to make (</w:t>
      </w:r>
      <w:hyperlink r:id="rId26">
        <w:r>
          <w:rPr>
            <w:rStyle w:val="Hyperlink"/>
          </w:rPr>
          <w:t xml:space="preserve">Form A1-1</w:t>
        </w:r>
      </w:hyperlink>
      <w:r>
        <w:t xml:space="preserve">, ¶3). Courts in the D.C. Circuit rarely order access over agency objection (§3,</w:t>
      </w:r>
      <w:r>
        <w:t xml:space="preserve"> </w:t>
      </w:r>
      <w:r>
        <w:rPr>
          <w:iCs/>
          <w:i/>
        </w:rPr>
        <w:t xml:space="preserve">Stillman</w:t>
      </w:r>
      <w:r>
        <w:t xml:space="preserve"> </w:t>
      </w:r>
      <w:r>
        <w:t xml:space="preserve">line).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Administrative matters.</w:t>
      </w:r>
      <w:r>
        <w:t xml:space="preserve"> </w:t>
      </w:r>
      <w:r>
        <w:t xml:space="preserve">Agencies sometimes sponsor case-specific access for counsel in inspector general or</w:t>
      </w:r>
      <w:r>
        <w:t xml:space="preserve"> </w:t>
      </w:r>
      <w:r>
        <w:t xml:space="preserve">clearance proceedings, but there is no general right to it.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Logistics.</w:t>
      </w:r>
      <w:r>
        <w:t xml:space="preserve"> </w:t>
      </w:r>
      <w:r>
        <w:t xml:space="preserve">Classified work happens in a SCIF on government systems. Counsel should budget for travel to a</w:t>
      </w:r>
      <w:r>
        <w:t xml:space="preserve"> </w:t>
      </w:r>
      <w:r>
        <w:t xml:space="preserve">government facility, for the time needed to have notes reviewed before they leave, and for the fact that</w:t>
      </w:r>
      <w:r>
        <w:t xml:space="preserve"> </w:t>
      </w:r>
      <w:r>
        <w:t xml:space="preserve">privileged communications in a government facility must be arranged with the security officer.</w:t>
      </w:r>
    </w:p>
    <w:bookmarkEnd w:id="28"/>
    <w:bookmarkStart w:id="31" w:name="clearance-hearings"/>
    <w:p>
      <w:pPr>
        <w:pStyle w:val="Heading3"/>
      </w:pPr>
      <w:r>
        <w:t xml:space="preserve">3.2 Clearance hearings</w:t>
      </w:r>
    </w:p>
    <w:p>
      <w:pPr>
        <w:pStyle w:val="FirstParagraph"/>
      </w:pPr>
      <w:r>
        <w:t xml:space="preserve">Clearance revocation is the sanction most UAP insiders fear, and the hearing is where it is decided.</w:t>
      </w:r>
      <w:r>
        <w:t xml:space="preserve"> </w:t>
      </w:r>
      <w:hyperlink r:id="rId29">
        <w:r>
          <w:rPr>
            <w:rStyle w:val="Hyperlink"/>
          </w:rPr>
          <w:t xml:space="preserve">Issue C5</w:t>
        </w:r>
      </w:hyperlink>
      <w:r>
        <w:t xml:space="preserve"> </w:t>
      </w:r>
      <w:r>
        <w:t xml:space="preserve">covers</w:t>
      </w:r>
      <w:r>
        <w:t xml:space="preserve"> </w:t>
      </w:r>
      <w:r>
        <w:t xml:space="preserve">clearance practice in full, with a sample answer to a Statement of Reasons (</w:t>
      </w:r>
      <w:hyperlink r:id="rId30">
        <w:r>
          <w:rPr>
            <w:rStyle w:val="Hyperlink"/>
          </w:rPr>
          <w:t xml:space="preserve">Form C5-1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Contractor employees.</w:t>
      </w:r>
      <w:r>
        <w:t xml:space="preserve"> </w:t>
      </w:r>
      <w:r>
        <w:t xml:space="preserve">Under DoD Directive 5220.6,</w:t>
      </w:r>
      <w:r>
        <w:t xml:space="preserve"> </w:t>
      </w:r>
      <w:r>
        <w:rPr>
          <w:iCs/>
          <w:i/>
        </w:rPr>
        <w:t xml:space="preserve">Defense Industrial Personnel Security Clearance Review</w:t>
      </w:r>
      <w:r>
        <w:rPr>
          <w:iCs/>
          <w:i/>
        </w:rPr>
        <w:t xml:space="preserve"> </w:t>
      </w:r>
      <w:r>
        <w:rPr>
          <w:iCs/>
          <w:i/>
        </w:rPr>
        <w:t xml:space="preserve">Program</w:t>
      </w:r>
      <w:r>
        <w:t xml:space="preserve">, the employee receives a Statement of Reasons, may answer in writing and request a hearing before a</w:t>
      </w:r>
      <w:r>
        <w:t xml:space="preserve"> </w:t>
      </w:r>
      <w:r>
        <w:t xml:space="preserve">Defense Office of Hearings and Appeals administrative judge, and may appeal to the DOHA Appeal Board. The standard is</w:t>
      </w:r>
      <w:r>
        <w:t xml:space="preserve"> </w:t>
      </w:r>
      <w:r>
        <w:t xml:space="preserve">whether access is</w:t>
      </w:r>
      <w:r>
        <w:t xml:space="preserve"> </w:t>
      </w:r>
      <w:r>
        <w:t xml:space="preserve">“</w:t>
      </w:r>
      <w:r>
        <w:t xml:space="preserve">clearly consistent with the national interest,</w:t>
      </w:r>
      <w:r>
        <w:t xml:space="preserve">”</w:t>
      </w:r>
      <w:r>
        <w:t xml:space="preserve"> </w:t>
      </w:r>
      <w:r>
        <w:t xml:space="preserve">and doubts are resolved against the applicant</w:t>
      </w:r>
      <w:r>
        <w:t xml:space="preserve"> </w:t>
      </w:r>
      <w:r>
        <w:t xml:space="preserve">(</w:t>
      </w:r>
      <w:r>
        <w:rPr>
          <w:iCs/>
          <w:i/>
        </w:rPr>
        <w:t xml:space="preserve">Egan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Federal employees</w:t>
      </w:r>
      <w:r>
        <w:t xml:space="preserve"> </w:t>
      </w:r>
      <w:r>
        <w:t xml:space="preserve">receive notice and a chance to respond under their agency’s procedures implementing EO</w:t>
      </w:r>
      <w:r>
        <w:t xml:space="preserve"> </w:t>
      </w:r>
      <w:r>
        <w:t xml:space="preserve">12968 §5.2, with a personal appearance in many agencies.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The guidelines that matter in UAP cases</w:t>
      </w:r>
      <w:r>
        <w:t xml:space="preserve"> </w:t>
      </w:r>
      <w:r>
        <w:t xml:space="preserve">are in SEAD 4, App. A: Guideline E (personal conduct, including</w:t>
      </w:r>
      <w:r>
        <w:t xml:space="preserve"> </w:t>
      </w:r>
      <w:r>
        <w:t xml:space="preserve">candor), Guideline I (psychological conditions, which bars a negative inference</w:t>
      </w:r>
      <w:r>
        <w:t xml:space="preserve"> </w:t>
      </w:r>
      <w:r>
        <w:t xml:space="preserve">“</w:t>
      </w:r>
      <w:r>
        <w:t xml:space="preserve">solely on the basis of mental</w:t>
      </w:r>
      <w:r>
        <w:t xml:space="preserve"> </w:t>
      </w:r>
      <w:r>
        <w:t xml:space="preserve">health counseling,</w:t>
      </w:r>
      <w:r>
        <w:t xml:space="preserve">”</w:t>
      </w:r>
      <w:r>
        <w:t xml:space="preserve"> </w:t>
      </w:r>
      <w:r>
        <w:t xml:space="preserve">¶27), and Guideline K (handling protected information, the guideline an unauthorized disclosure</w:t>
      </w:r>
      <w:r>
        <w:t xml:space="preserve"> </w:t>
      </w:r>
      <w:r>
        <w:t xml:space="preserve">would be charged under).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Experiencer clients.</w:t>
      </w:r>
      <w:r>
        <w:t xml:space="preserve"> </w:t>
      </w:r>
      <w:r>
        <w:t xml:space="preserve">The SF-86 asks about mental health in Section 21. A client who has reported unusual</w:t>
      </w:r>
      <w:r>
        <w:t xml:space="preserve"> </w:t>
      </w:r>
      <w:r>
        <w:t xml:space="preserve">experiences should answer truthfully and should understand that SEAD 4 forbids treating counseling alone as</w:t>
      </w:r>
      <w:r>
        <w:t xml:space="preserve"> </w:t>
      </w:r>
      <w:r>
        <w:t xml:space="preserve">disqualifying; counsel should prepare evidence of stability and judgment before any interview.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The client’s own file.</w:t>
      </w:r>
      <w:r>
        <w:t xml:space="preserve"> </w:t>
      </w:r>
      <w:r>
        <w:t xml:space="preserve">Before a hearing, request the investigative file under the Privacy Act and FOIA from the</w:t>
      </w:r>
      <w:r>
        <w:t xml:space="preserve"> </w:t>
      </w:r>
      <w:r>
        <w:t xml:space="preserve">Defense Counterintelligence and Security Agency (or the investigating agency), so the client sees what the</w:t>
      </w:r>
      <w:r>
        <w:t xml:space="preserve"> </w:t>
      </w:r>
      <w:r>
        <w:t xml:space="preserve">adjudicator sees.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Reprisal.</w:t>
      </w:r>
      <w:r>
        <w:t xml:space="preserve"> </w:t>
      </w:r>
      <w:r>
        <w:t xml:space="preserve">If the clearance action follows a protected UAP disclosure, raise reprisal expressly and preserve it</w:t>
      </w:r>
      <w:r>
        <w:t xml:space="preserve"> </w:t>
      </w:r>
      <w:r>
        <w:t xml:space="preserve">for the §3341(j) process (</w:t>
      </w:r>
      <w:hyperlink r:id="rId27">
        <w:r>
          <w:rPr>
            <w:rStyle w:val="Hyperlink"/>
          </w:rPr>
          <w:t xml:space="preserve">Issue C1</w:t>
        </w:r>
      </w:hyperlink>
      <w:r>
        <w:t xml:space="preserve">).</w:t>
      </w:r>
    </w:p>
    <w:bookmarkEnd w:id="31"/>
    <w:bookmarkEnd w:id="32"/>
    <w:bookmarkStart w:id="34" w:name="structuring-the-representation"/>
    <w:p>
      <w:pPr>
        <w:pStyle w:val="Heading2"/>
      </w:pPr>
      <w:r>
        <w:t xml:space="preserve">4. Structuring the representation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Intake.</w:t>
      </w:r>
      <w:r>
        <w:t xml:space="preserve"> </w:t>
      </w:r>
      <w:r>
        <w:t xml:space="preserve">Tell the client at the first meeting, before substance, not to disclose classified</w:t>
      </w:r>
      <w:r>
        <w:t xml:space="preserve"> </w:t>
      </w:r>
      <w:r>
        <w:t xml:space="preserve">information. Take a written acknowledgment.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Unclassified framing.</w:t>
      </w:r>
      <w:r>
        <w:t xml:space="preserve"> </w:t>
      </w:r>
      <w:r>
        <w:t xml:space="preserve">Work from unclassified descriptions (</w:t>
      </w:r>
      <w:r>
        <w:t xml:space="preserve">“</w:t>
      </w:r>
      <w:r>
        <w:t xml:space="preserve">a program involving recovered material</w:t>
      </w:r>
      <w:r>
        <w:t xml:space="preserve"> </w:t>
      </w:r>
      <w:r>
        <w:t xml:space="preserve">at a contractor facility</w:t>
      </w:r>
      <w:r>
        <w:t xml:space="preserve">”</w:t>
      </w:r>
      <w:r>
        <w:t xml:space="preserve">) and from official acknowledgments.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Channels.</w:t>
      </w:r>
      <w:r>
        <w:t xml:space="preserve"> </w:t>
      </w:r>
      <w:r>
        <w:t xml:space="preserve">Route classified substance to AARO (</w:t>
      </w:r>
      <w:hyperlink r:id="rId33">
        <w:r>
          <w:rPr>
            <w:rStyle w:val="Hyperlink"/>
          </w:rPr>
          <w:t xml:space="preserve">Form C1-1</w:t>
        </w:r>
      </w:hyperlink>
      <w:r>
        <w:t xml:space="preserve">), the IG, the ICIG, or the committees.</w:t>
      </w:r>
      <w:r>
        <w:t xml:space="preserve"> </w:t>
      </w:r>
      <w:r>
        <w:t xml:space="preserve">Counsel may accompany the client for the unclassified portions and may be present in classified</w:t>
      </w:r>
      <w:r>
        <w:t xml:space="preserve"> </w:t>
      </w:r>
      <w:r>
        <w:t xml:space="preserve">sessions only if cleared and authorized.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Records.</w:t>
      </w:r>
      <w:r>
        <w:t xml:space="preserve"> </w:t>
      </w:r>
      <w:r>
        <w:t xml:space="preserve">Keep counsel’s file unclassified. If counsel creates notes that may contain classified</w:t>
      </w:r>
      <w:r>
        <w:t xml:space="preserve"> </w:t>
      </w:r>
      <w:r>
        <w:t xml:space="preserve">information, stop and seek a classification review.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Communications.</w:t>
      </w:r>
      <w:r>
        <w:t xml:space="preserve"> </w:t>
      </w:r>
      <w:r>
        <w:t xml:space="preserve">Use secure, encrypted channels for unclassified but sensitive communications. Do</w:t>
      </w:r>
      <w:r>
        <w:t xml:space="preserve"> </w:t>
      </w:r>
      <w:r>
        <w:t xml:space="preserve">not use secure-messaging apps for classified information; nothing outside approved systems is</w:t>
      </w:r>
      <w:r>
        <w:t xml:space="preserve"> </w:t>
      </w:r>
      <w:r>
        <w:t xml:space="preserve">authorized for classified material.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Prepublication.</w:t>
      </w:r>
      <w:r>
        <w:t xml:space="preserve"> </w:t>
      </w:r>
      <w:r>
        <w:t xml:space="preserve">Counsel’s own public statements about the client’s matter must not convey</w:t>
      </w:r>
      <w:r>
        <w:t xml:space="preserve"> </w:t>
      </w:r>
      <w:r>
        <w:t xml:space="preserve">classified information; consider review.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Engagement letter.</w:t>
      </w:r>
      <w:r>
        <w:t xml:space="preserve"> </w:t>
      </w:r>
      <w:r>
        <w:t xml:space="preserve">Set out these limits (</w:t>
      </w:r>
      <w:hyperlink r:id="rId23">
        <w:r>
          <w:rPr>
            <w:rStyle w:val="Hyperlink"/>
          </w:rPr>
          <w:t xml:space="preserve">Form C4-1</w:t>
        </w:r>
      </w:hyperlink>
      <w:r>
        <w:t xml:space="preserve">), including fees and expenses for SCIF-based work and</w:t>
      </w:r>
      <w:r>
        <w:t xml:space="preserve"> </w:t>
      </w:r>
      <w:r>
        <w:t xml:space="preserve">the client’s written consent to any protective-order limits on what counsel may tell the client (WSBA Op. 2134).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Malpractice coverage.</w:t>
      </w:r>
      <w:r>
        <w:t xml:space="preserve"> </w:t>
      </w:r>
      <w:r>
        <w:t xml:space="preserve">Confirm that the firm’s policy covers national security representation and does not</w:t>
      </w:r>
      <w:r>
        <w:t xml:space="preserve"> </w:t>
      </w:r>
      <w:r>
        <w:t xml:space="preserve">exclude matters involving classified information.</w:t>
      </w:r>
    </w:p>
    <w:p>
      <w:r>
        <w:pict>
          <v:rect style="width:0;height:1.5pt" o:hralign="center" o:hrstd="t" o:hr="t"/>
        </w:pict>
      </w:r>
    </w:p>
    <w:bookmarkEnd w:id="34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Representing Clients Who Hold or Held Security Clearances in UAP Matters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6" Type="http://schemas.openxmlformats.org/officeDocument/2006/relationships/hyperlink" Target="https://nhilaw.com/forms/a1-1.html" TargetMode="External"/><Relationship Id="rId33" Type="http://schemas.openxmlformats.org/officeDocument/2006/relationships/hyperlink" Target="https://nhilaw.com/forms/c1-1.html" TargetMode="External"/><Relationship Id="rId23" Type="http://schemas.openxmlformats.org/officeDocument/2006/relationships/hyperlink" Target="https://nhilaw.com/forms/c4-1.html" TargetMode="External"/><Relationship Id="rId30" Type="http://schemas.openxmlformats.org/officeDocument/2006/relationships/hyperlink" Target="https://nhilaw.com/forms/c5-1.html" TargetMode="External"/><Relationship Id="rId25" Type="http://schemas.openxmlformats.org/officeDocument/2006/relationships/hyperlink" Target="https://nhilaw.com/issues/a1.html" TargetMode="External"/><Relationship Id="rId27" Type="http://schemas.openxmlformats.org/officeDocument/2006/relationships/hyperlink" Target="https://nhilaw.com/issues/c1.html" TargetMode="External"/><Relationship Id="rId29" Type="http://schemas.openxmlformats.org/officeDocument/2006/relationships/hyperlink" Target="https://nhilaw.com/issues/c5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6" Type="http://schemas.openxmlformats.org/officeDocument/2006/relationships/hyperlink" Target="https://nhilaw.com/forms/a1-1.html" TargetMode="External"/><Relationship Id="rId33" Type="http://schemas.openxmlformats.org/officeDocument/2006/relationships/hyperlink" Target="https://nhilaw.com/forms/c1-1.html" TargetMode="External"/><Relationship Id="rId23" Type="http://schemas.openxmlformats.org/officeDocument/2006/relationships/hyperlink" Target="https://nhilaw.com/forms/c4-1.html" TargetMode="External"/><Relationship Id="rId30" Type="http://schemas.openxmlformats.org/officeDocument/2006/relationships/hyperlink" Target="https://nhilaw.com/forms/c5-1.html" TargetMode="External"/><Relationship Id="rId25" Type="http://schemas.openxmlformats.org/officeDocument/2006/relationships/hyperlink" Target="https://nhilaw.com/issues/a1.html" TargetMode="External"/><Relationship Id="rId27" Type="http://schemas.openxmlformats.org/officeDocument/2006/relationships/hyperlink" Target="https://nhilaw.com/issues/c1.html" TargetMode="External"/><Relationship Id="rId29" Type="http://schemas.openxmlformats.org/officeDocument/2006/relationships/hyperlink" Target="https://nhilaw.com/issues/c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Representing Clients Who Hold or Held Security Clearances in UAP Matters</dc:title>
  <dc:creator>nhilaw.com</dc:creator>
  <cp:keywords/>
  <dcterms:created xsi:type="dcterms:W3CDTF">2026-10-19T03:13:04Z</dcterms:created>
  <dcterms:modified xsi:type="dcterms:W3CDTF">2026-10-19T03:13:04Z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nhilaw.com/issues/c4.html</vt:lpwstr>
  </property>
</Properties>
</file>