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2" w:name="X883ec887538f4e088a2a35d344f3803aac91c30"/>
    <w:p>
      <w:pPr>
        <w:pStyle w:val="Heading1"/>
      </w:pPr>
      <w:r>
        <w:t xml:space="preserve">Form C5-1. Answer to a DOHA Statement of Reasons (Psychological Conditions, Personal Conduct, Outside Activities)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https://nhilaw.com/forms/c5-1.html</w:t>
      </w:r>
    </w:p>
    <w:p>
      <w:pPr>
        <w:pStyle w:val="BodyText"/>
        <w:spacing w:after="160" w:line="259" w:lineRule="auto"/>
      </w:pPr>
      <w:r>
        <w:rPr>
          <w:bCs/>
          <w:b/>
        </w:rPr>
        <w:t xml:space="preserve">Use.</w:t>
      </w:r>
      <w:r>
        <w:t xml:space="preserve"> </w:t>
      </w:r>
      <w:r>
        <w:t xml:space="preserve">A Statement of Reasons lists allegations under the SEAD 4 guidelines. The answer must admit or deny each</w:t>
      </w:r>
      <w:r>
        <w:t xml:space="preserve"> </w:t>
      </w:r>
      <w:r>
        <w:t xml:space="preserve">one under oath, and a hearing must be requested in the answer (</w:t>
      </w:r>
      <w:hyperlink r:id="rId20">
        <w:r>
          <w:rPr>
            <w:rStyle w:val="Hyperlink"/>
          </w:rPr>
          <w:t xml:space="preserve">Issue C5</w:t>
        </w:r>
      </w:hyperlink>
      <w:r>
        <w:t xml:space="preserve"> </w:t>
      </w:r>
      <w:r>
        <w:t xml:space="preserve">§3.1). This template covers the</w:t>
      </w:r>
      <w:r>
        <w:t xml:space="preserve"> </w:t>
      </w:r>
      <w:r>
        <w:t xml:space="preserve">allegations most likely in a UAP case: an unusual-experience report treated as a psychological concern (Guideline</w:t>
      </w:r>
      <w:r>
        <w:t xml:space="preserve"> </w:t>
      </w:r>
      <w:r>
        <w:t xml:space="preserve">I), an alleged omission on the SF-86 (Guideline E), and an unreported outside activity (Guideline L).</w:t>
      </w:r>
    </w:p>
    <w:p>
      <w:pPr>
        <w:pStyle w:val="BodyText"/>
        <w:spacing w:after="160" w:line="259" w:lineRule="auto"/>
      </w:pPr>
      <w:r>
        <w:rPr>
          <w:bCs/>
          <w:b/>
        </w:rPr>
        <w:t xml:space="preserve">When to use.</w:t>
      </w:r>
      <w:r>
        <w:t xml:space="preserve"> </w:t>
      </w:r>
      <w:r>
        <w:t xml:space="preserve">On receipt of an SOR.</w:t>
      </w:r>
      <w:r>
        <w:t xml:space="preserve"> </w:t>
      </w:r>
      <w:r>
        <w:rPr>
          <w:bCs/>
          <w:b/>
        </w:rPr>
        <w:t xml:space="preserve">Not for:</w:t>
      </w:r>
      <w:r>
        <w:t xml:space="preserve"> </w:t>
      </w:r>
      <w:r>
        <w:t xml:space="preserve">Federal employees, whose agencies follow their own procedures</w:t>
      </w:r>
      <w:r>
        <w:t xml:space="preserve"> </w:t>
      </w:r>
      <w:r>
        <w:t xml:space="preserve">under Executive Order 12968 §5.2.</w:t>
      </w:r>
    </w:p>
    <w:p>
      <w:pPr>
        <w:pStyle w:val="BodyText"/>
        <w:spacing w:after="160" w:line="259" w:lineRule="auto"/>
      </w:pPr>
      <w:r>
        <w:rPr>
          <w:bCs/>
          <w:b/>
        </w:rPr>
        <w:t xml:space="preserve">Deadlines.</w:t>
      </w:r>
      <w:r>
        <w:t xml:space="preserve"> </w:t>
      </w:r>
      <w:r>
        <w:t xml:space="preserve">The answer must be received by DOHA within 20 days of receipt of the SOR (DoDD 5220.6 ¶E3.1.4).</w:t>
      </w:r>
      <w:r>
        <w:t xml:space="preserve"> </w:t>
      </w:r>
      <w:r>
        <w:t xml:space="preserve">Ask for an extension at once if more time is needed; good cause is required.</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DEFENSE OFFICE OF HEARINGS AND APPEALS</w:t>
      </w:r>
    </w:p>
    <w:p>
      <w:pPr>
        <w:pStyle w:val="BodyText"/>
      </w:pPr>
      <w:r>
        <w:t xml:space="preserve">In the matter of: [Applicant], ISCR Case No. [__]</w:t>
      </w:r>
    </w:p>
    <w:p>
      <w:pPr>
        <w:pStyle w:val="BodyText"/>
      </w:pPr>
      <w:r>
        <w:rPr>
          <w:bCs/>
          <w:b/>
        </w:rPr>
        <w:t xml:space="preserve">APPLICANT’S ANSWER TO STATEMENT OF REASONS AND REQUEST FOR HEARING</w:t>
      </w:r>
    </w:p>
    <w:p>
      <w:pPr>
        <w:pStyle w:val="BodyText"/>
      </w:pPr>
      <w:r>
        <w:t xml:space="preserve">Applicant answers the Statement of Reasons dated [date], received [date], as follows. Applicant requests a hearing</w:t>
      </w:r>
      <w:r>
        <w:t xml:space="preserve"> </w:t>
      </w:r>
      <w:r>
        <w:t xml:space="preserve">before an Administrative Judge.</w:t>
      </w:r>
    </w:p>
    <w:p>
      <w:pPr>
        <w:pStyle w:val="BodyText"/>
      </w:pPr>
      <w:r>
        <w:rPr>
          <w:bCs/>
          <w:b/>
        </w:rPr>
        <w:t xml:space="preserve">Paragraph 1 (Guideline I, Psychological Conditions).</w:t>
      </w:r>
    </w:p>
    <w:p>
      <w:pPr>
        <w:pStyle w:val="BodyText"/>
      </w:pPr>
      <w:r>
        <w:t xml:space="preserve">1.a. [Allegation, e.g.,</w:t>
      </w:r>
      <w:r>
        <w:t xml:space="preserve"> </w:t>
      </w:r>
      <w:r>
        <w:t xml:space="preserve">“</w:t>
      </w:r>
      <w:r>
        <w:t xml:space="preserve">You reported to a counselor in 20__ that you observed an unidentified object and</w:t>
      </w:r>
      <w:r>
        <w:t xml:space="preserve"> </w:t>
      </w:r>
      <w:r>
        <w:t xml:space="preserve">experienced events you could not explain.</w:t>
      </w:r>
      <w:r>
        <w:t xml:space="preserve">”</w:t>
      </w:r>
      <w:r>
        <w:t xml:space="preserve">]</w:t>
      </w:r>
      <w:r>
        <w:t xml:space="preserve"> </w:t>
      </w:r>
      <w:r>
        <w:rPr>
          <w:bCs/>
          <w:b/>
        </w:rPr>
        <w:t xml:space="preserve">Admitted in part.</w:t>
      </w:r>
      <w:r>
        <w:t xml:space="preserve"> </w:t>
      </w:r>
      <w:r>
        <w:t xml:space="preserve">Applicant reported an observation to [counselor]</w:t>
      </w:r>
      <w:r>
        <w:t xml:space="preserve"> </w:t>
      </w:r>
      <w:r>
        <w:t xml:space="preserve">on [date]. Applicant denies that the report reflects any condition that impairs judgment, stability, reliability, or</w:t>
      </w:r>
      <w:r>
        <w:t xml:space="preserve"> </w:t>
      </w:r>
      <w:r>
        <w:t xml:space="preserve">trustworthiness. The observation was [corroborated by (names, records) / reported through the official channel</w:t>
      </w:r>
      <w:r>
        <w:t xml:space="preserve"> </w:t>
      </w:r>
      <w:r>
        <w:t xml:space="preserve">under 50 U.S.C. §3373b]. Applicant has not been diagnosed with any condition listed in SF-86 Section 21D and has</w:t>
      </w:r>
      <w:r>
        <w:t xml:space="preserve"> </w:t>
      </w:r>
      <w:r>
        <w:t xml:space="preserve">never been hospitalized for a mental health condition. Under SEAD 4, App. A ¶27,</w:t>
      </w:r>
      <w:r>
        <w:t xml:space="preserve"> </w:t>
      </w:r>
      <w:r>
        <w:t xml:space="preserve">“</w:t>
      </w:r>
      <w:r>
        <w:t xml:space="preserve">[n]o negative inference … may</w:t>
      </w:r>
      <w:r>
        <w:t xml:space="preserve"> </w:t>
      </w:r>
      <w:r>
        <w:t xml:space="preserve">be raised solely on the basis of mental health counseling.</w:t>
      </w:r>
      <w:r>
        <w:t xml:space="preserve">”</w:t>
      </w:r>
      <w:r>
        <w:t xml:space="preserve"> </w:t>
      </w:r>
      <w:r>
        <w:t xml:space="preserve">[Applicant will submit an evaluation by (a duly</w:t>
      </w:r>
      <w:r>
        <w:t xml:space="preserve"> </w:t>
      </w:r>
      <w:r>
        <w:t xml:space="preserve">qualified mental health professional acceptable to the Government) stating that Applicant has no condition that</w:t>
      </w:r>
      <w:r>
        <w:t xml:space="preserve"> </w:t>
      </w:r>
      <w:r>
        <w:t xml:space="preserve">may impair judgment. SEAD 4, App. A ¶29(c), (e).]</w:t>
      </w:r>
    </w:p>
    <w:p>
      <w:pPr>
        <w:pStyle w:val="BodyText"/>
      </w:pPr>
      <w:r>
        <w:rPr>
          <w:bCs/>
          <w:b/>
        </w:rPr>
        <w:t xml:space="preserve">Paragraph 2 (Guideline E, Personal Conduct).</w:t>
      </w:r>
    </w:p>
    <w:p>
      <w:pPr>
        <w:pStyle w:val="BodyText"/>
      </w:pPr>
      <w:r>
        <w:t xml:space="preserve">2.a. [Allegation, e.g.,</w:t>
      </w:r>
      <w:r>
        <w:t xml:space="preserve"> </w:t>
      </w:r>
      <w:r>
        <w:t xml:space="preserve">“</w:t>
      </w:r>
      <w:r>
        <w:t xml:space="preserve">You falsified your SF-86 dated (date) by failing to disclose (fact).</w:t>
      </w:r>
      <w:r>
        <w:t xml:space="preserve">”</w:t>
      </w:r>
      <w:r>
        <w:t xml:space="preserve">]</w:t>
      </w:r>
      <w:r>
        <w:t xml:space="preserve"> </w:t>
      </w:r>
      <w:r>
        <w:rPr>
          <w:bCs/>
          <w:b/>
        </w:rPr>
        <w:t xml:space="preserve">Denied.</w:t>
      </w:r>
      <w:r>
        <w:t xml:space="preserve"> </w:t>
      </w:r>
      <w:r>
        <w:t xml:space="preserve">Applicant</w:t>
      </w:r>
      <w:r>
        <w:t xml:space="preserve"> </w:t>
      </w:r>
      <w:r>
        <w:t xml:space="preserve">did not deliberately omit or falsify any information. [Explain: e.g.,</w:t>
      </w:r>
      <w:r>
        <w:t xml:space="preserve"> </w:t>
      </w:r>
      <w:r>
        <w:t xml:space="preserve">“</w:t>
      </w:r>
      <w:r>
        <w:t xml:space="preserve">Section 21 asks about orders, hospitalization,</w:t>
      </w:r>
      <w:r>
        <w:t xml:space="preserve"> </w:t>
      </w:r>
      <w:r>
        <w:t xml:space="preserve">specified diagnoses, and conditions that substantially affect judgment. None applied. Applicant answered each</w:t>
      </w:r>
      <w:r>
        <w:t xml:space="preserve"> </w:t>
      </w:r>
      <w:r>
        <w:t xml:space="preserve">question accurately.</w:t>
      </w:r>
      <w:r>
        <w:t xml:space="preserve">”</w:t>
      </w:r>
      <w:r>
        <w:t xml:space="preserve">] [If an omission occurred:] Applicant disclosed the matter on [date], before it was raised by</w:t>
      </w:r>
      <w:r>
        <w:t xml:space="preserve"> </w:t>
      </w:r>
      <w:r>
        <w:t xml:space="preserve">any investigator, as shown in [record].</w:t>
      </w:r>
    </w:p>
    <w:p>
      <w:pPr>
        <w:pStyle w:val="BodyText"/>
      </w:pPr>
      <w:r>
        <w:rPr>
          <w:bCs/>
          <w:b/>
        </w:rPr>
        <w:t xml:space="preserve">Paragraph 3 (Guideline L, Outside Activities).</w:t>
      </w:r>
    </w:p>
    <w:p>
      <w:pPr>
        <w:pStyle w:val="BodyText"/>
      </w:pPr>
      <w:r>
        <w:t xml:space="preserve">3.a. [Allegation, e.g.,</w:t>
      </w:r>
      <w:r>
        <w:t xml:space="preserve"> </w:t>
      </w:r>
      <w:r>
        <w:t xml:space="preserve">“</w:t>
      </w:r>
      <w:r>
        <w:t xml:space="preserve">You volunteer for (organization), which publishes material on defense topics, and did not</w:t>
      </w:r>
      <w:r>
        <w:t xml:space="preserve"> </w:t>
      </w:r>
      <w:r>
        <w:t xml:space="preserve">report it.</w:t>
      </w:r>
      <w:r>
        <w:t xml:space="preserve">”</w:t>
      </w:r>
      <w:r>
        <w:t xml:space="preserve">]</w:t>
      </w:r>
      <w:r>
        <w:t xml:space="preserve"> </w:t>
      </w:r>
      <w:r>
        <w:rPr>
          <w:bCs/>
          <w:b/>
        </w:rPr>
        <w:t xml:space="preserve">Admitted in part.</w:t>
      </w:r>
      <w:r>
        <w:t xml:space="preserve"> </w:t>
      </w:r>
      <w:r>
        <w:t xml:space="preserve">Applicant has volunteered for [organization] since [date] as [role]. The activity</w:t>
      </w:r>
      <w:r>
        <w:t xml:space="preserve"> </w:t>
      </w:r>
      <w:r>
        <w:t xml:space="preserve">concerns [description], has no connection with Applicant’s work or program, and involves no protected information.</w:t>
      </w:r>
      <w:r>
        <w:t xml:space="preserve"> </w:t>
      </w:r>
      <w:r>
        <w:t xml:space="preserve">Applicant [reported the activity on (date) / did not understand that reporting was required, and reported it on</w:t>
      </w:r>
      <w:r>
        <w:t xml:space="preserve"> </w:t>
      </w:r>
      <w:r>
        <w:t xml:space="preserve">(date) when advised]. Applicant has [ended the activity / agreed to the restrictions described in Exhibit __].</w:t>
      </w:r>
    </w:p>
    <w:p>
      <w:pPr>
        <w:pStyle w:val="BodyText"/>
      </w:pPr>
      <w:r>
        <w:rPr>
          <w:bCs/>
          <w:b/>
        </w:rPr>
        <w:t xml:space="preserve">Whole-person factors.</w:t>
      </w:r>
      <w:r>
        <w:t xml:space="preserve"> </w:t>
      </w:r>
      <w:r>
        <w:t xml:space="preserve">Applicant has held a clearance since [year] without incident, [summarize record: awards,</w:t>
      </w:r>
      <w:r>
        <w:t xml:space="preserve"> </w:t>
      </w:r>
      <w:r>
        <w:t xml:space="preserve">evaluations, references]. Applicant will present [number] witnesses and the documents listed below.</w:t>
      </w:r>
    </w:p>
    <w:p>
      <w:pPr>
        <w:pStyle w:val="BodyText"/>
      </w:pPr>
      <w:r>
        <w:rPr>
          <w:bCs/>
          <w:b/>
        </w:rPr>
        <w:t xml:space="preserve">Reprisal.</w:t>
      </w:r>
      <w:r>
        <w:t xml:space="preserve"> </w:t>
      </w:r>
      <w:r>
        <w:t xml:space="preserve">[If applicable:] The allegations followed Applicant’s protected disclosure on [date] to [AARO / an</w:t>
      </w:r>
      <w:r>
        <w:t xml:space="preserve"> </w:t>
      </w:r>
      <w:r>
        <w:t xml:space="preserve">inspector general / a congressional committee]. Applicant asserts that the action is in reprisal for that disclosure</w:t>
      </w:r>
      <w:r>
        <w:t xml:space="preserve"> </w:t>
      </w:r>
      <w:r>
        <w:t xml:space="preserve">and reserves all rights under applicable law, including 50 U.S.C. §3373b(b)(2).</w:t>
      </w:r>
    </w:p>
    <w:p>
      <w:pPr>
        <w:pStyle w:val="BodyText"/>
      </w:pPr>
      <w:r>
        <w:rPr>
          <w:bCs/>
          <w:b/>
        </w:rPr>
        <w:t xml:space="preserve">Documents.</w:t>
      </w:r>
      <w:r>
        <w:t xml:space="preserve"> </w:t>
      </w:r>
      <w:r>
        <w:t xml:space="preserve">[List: performance evaluations; letters of reference; the evaluation in ¶1.a; records corroborating</w:t>
      </w:r>
      <w:r>
        <w:t xml:space="preserve"> </w:t>
      </w:r>
      <w:r>
        <w:t xml:space="preserve">the observation; reporting records for ¶3.a.]</w:t>
      </w:r>
    </w:p>
    <w:p>
      <w:pPr>
        <w:pStyle w:val="BodyText"/>
      </w:pPr>
      <w:r>
        <w:t xml:space="preserve">I declare under penalty of perjury that the foregoing is true and correct.</w:t>
      </w:r>
    </w:p>
    <w:p>
      <w:pPr>
        <w:pStyle w:val="BodyText"/>
      </w:pPr>
      <w:r>
        <w:t xml:space="preserve">[Signature] [Date]</w:t>
      </w:r>
      <w:r>
        <w:br/>
      </w:r>
      <w:r>
        <w:t xml:space="preserve">[Applicant’s name, address, email, phone]</w:t>
      </w:r>
      <w:r>
        <w:br/>
      </w:r>
      <w:r>
        <w:t xml:space="preserve">[Counsel’s name and contact, if represented]</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Start w:id="21" w:name="drafting-notes"/>
    <w:p>
      <w:pPr>
        <w:pStyle w:val="Heading2"/>
      </w:pPr>
      <w:r>
        <w:t xml:space="preserve">Drafting notes</w:t>
      </w:r>
    </w:p>
    <w:p>
      <w:pPr>
        <w:pStyle w:val="Compact"/>
        <w:numPr>
          <w:ilvl w:val="0"/>
          <w:numId w:val="1001"/>
        </w:numPr>
      </w:pPr>
      <w:r>
        <w:rPr>
          <w:bCs/>
          <w:b/>
        </w:rPr>
        <w:t xml:space="preserve">Answer each subparagraph.</w:t>
      </w:r>
      <w:r>
        <w:t xml:space="preserve"> </w:t>
      </w:r>
      <w:r>
        <w:t xml:space="preserve">A general denial is insufficient (¶E3.1.4). Admit what is true and explain it; the</w:t>
      </w:r>
      <w:r>
        <w:t xml:space="preserve"> </w:t>
      </w:r>
      <w:r>
        <w:t xml:space="preserve">explanation is the start of mitigation.</w:t>
      </w:r>
    </w:p>
    <w:p>
      <w:pPr>
        <w:pStyle w:val="Compact"/>
        <w:numPr>
          <w:ilvl w:val="0"/>
          <w:numId w:val="1001"/>
        </w:numPr>
      </w:pPr>
      <w:r>
        <w:rPr>
          <w:bCs/>
          <w:b/>
        </w:rPr>
        <w:t xml:space="preserve">Request the hearing here.</w:t>
      </w:r>
      <w:r>
        <w:t xml:space="preserve"> </w:t>
      </w:r>
      <w:r>
        <w:t xml:space="preserve">Without a request in the answer, the case may be decided on the written record</w:t>
      </w:r>
      <w:r>
        <w:t xml:space="preserve"> </w:t>
      </w:r>
      <w:r>
        <w:t xml:space="preserve">(¶E3.1.7). A hearing lets the judge assess credibility, which decides Guideline I and E cases.</w:t>
      </w:r>
    </w:p>
    <w:p>
      <w:pPr>
        <w:pStyle w:val="Compact"/>
        <w:numPr>
          <w:ilvl w:val="0"/>
          <w:numId w:val="1001"/>
        </w:numPr>
      </w:pPr>
      <w:r>
        <w:rPr>
          <w:bCs/>
          <w:b/>
        </w:rPr>
        <w:t xml:space="preserve">Mental health evidence.</w:t>
      </w:r>
      <w:r>
        <w:t xml:space="preserve"> </w:t>
      </w:r>
      <w:r>
        <w:t xml:space="preserve">Use a professional the government will accept, and ask Department Counsel in advance</w:t>
      </w:r>
      <w:r>
        <w:t xml:space="preserve"> </w:t>
      </w:r>
      <w:r>
        <w:t xml:space="preserve">whether a particular evaluator is acceptable (SEAD 4, App. A ¶¶27, 29(c)). The judge is not bound by the</w:t>
      </w:r>
      <w:r>
        <w:t xml:space="preserve"> </w:t>
      </w:r>
      <w:r>
        <w:t xml:space="preserve">government evaluator’s diagnosis and may prefer a treating professional who has seen the applicant often and</w:t>
      </w:r>
      <w:r>
        <w:t xml:space="preserve"> </w:t>
      </w:r>
      <w:r>
        <w:t xml:space="preserve">recently. ISCR Case No. 19-00151, 2019 WL 8268343, at</w:t>
      </w:r>
      <w:r>
        <w:t xml:space="preserve"> </w:t>
      </w:r>
      <w:r>
        <w:rPr>
          <w:iCs/>
          <w:i/>
        </w:rPr>
        <w:t xml:space="preserve">7 (App. Bd. Dec. 10, 2019). An applicant who offers no</w:t>
      </w:r>
      <w:r>
        <w:rPr>
          <w:iCs/>
          <w:i/>
        </w:rPr>
        <w:t xml:space="preserve"> </w:t>
      </w:r>
      <w:r>
        <w:rPr>
          <w:iCs/>
          <w:i/>
        </w:rPr>
        <w:t xml:space="preserve">expert evidence leaves the government’s diagnosis unrebutted. ISCR Case No. 20-02097, 2024 WL 4351699, at</w:t>
      </w:r>
      <w:r>
        <w:rPr>
          <w:iCs/>
          <w:i/>
        </w:rPr>
        <w:t xml:space="preserve"> </w:t>
      </w:r>
      <w:r>
        <w:t xml:space="preserve">3</w:t>
      </w:r>
      <w:r>
        <w:t xml:space="preserve"> </w:t>
      </w:r>
      <w:r>
        <w:t xml:space="preserve">(App. Bd. Feb. 13, 2024).</w:t>
      </w:r>
    </w:p>
    <w:p>
      <w:pPr>
        <w:pStyle w:val="Compact"/>
        <w:numPr>
          <w:ilvl w:val="0"/>
          <w:numId w:val="1001"/>
        </w:numPr>
      </w:pPr>
      <w:r>
        <w:rPr>
          <w:bCs/>
          <w:b/>
        </w:rPr>
        <w:t xml:space="preserve">Falsification.</w:t>
      </w:r>
      <w:r>
        <w:t xml:space="preserve"> </w:t>
      </w:r>
      <w:r>
        <w:t xml:space="preserve">A denial in ¶2.a puts the burden on the government, and proof of an omission alone does not</w:t>
      </w:r>
      <w:r>
        <w:t xml:space="preserve"> </w:t>
      </w:r>
      <w:r>
        <w:t xml:space="preserve">prove intent. ISCR Case No. 22-00381, 2024 WL 3913933, at *5 (App. Bd. Mar. 12, 2024). Support the denial with</w:t>
      </w:r>
      <w:r>
        <w:t xml:space="preserve"> </w:t>
      </w:r>
      <w:r>
        <w:t xml:space="preserve">the facts that show the applicant’s understanding of the question when answering it.</w:t>
      </w:r>
    </w:p>
    <w:p>
      <w:pPr>
        <w:pStyle w:val="Compact"/>
        <w:numPr>
          <w:ilvl w:val="0"/>
          <w:numId w:val="1001"/>
        </w:numPr>
      </w:pPr>
      <w:r>
        <w:rPr>
          <w:bCs/>
          <w:b/>
        </w:rPr>
        <w:t xml:space="preserve">Candor.</w:t>
      </w:r>
      <w:r>
        <w:t xml:space="preserve"> </w:t>
      </w:r>
      <w:r>
        <w:t xml:space="preserve">Do not deny an allegation that the record will prove. An admitted fact can be mitigated; a false denial</w:t>
      </w:r>
      <w:r>
        <w:t xml:space="preserve"> </w:t>
      </w:r>
      <w:r>
        <w:t xml:space="preserve">becomes a new Guideline E allegation.</w:t>
      </w:r>
    </w:p>
    <w:p>
      <w:pPr>
        <w:pStyle w:val="Compact"/>
        <w:numPr>
          <w:ilvl w:val="0"/>
          <w:numId w:val="1001"/>
        </w:numPr>
      </w:pPr>
      <w:r>
        <w:rPr>
          <w:bCs/>
          <w:b/>
        </w:rPr>
        <w:t xml:space="preserve">Appeal.</w:t>
      </w:r>
      <w:r>
        <w:t xml:space="preserve"> </w:t>
      </w:r>
      <w:r>
        <w:t xml:space="preserve">If the decision is unfavorable, the notice of appeal is due within 15 days and the brief within 45 days</w:t>
      </w:r>
      <w:r>
        <w:t xml:space="preserve"> </w:t>
      </w:r>
      <w:r>
        <w:t xml:space="preserve">of the decision, and no new evidence is allowed on appeal (¶¶E3.1.28-E3.1.30). Put everything in the record.</w:t>
      </w:r>
    </w:p>
    <w:p>
      <w:pPr>
        <w:pStyle w:val="Compact"/>
        <w:numPr>
          <w:ilvl w:val="0"/>
          <w:numId w:val="1001"/>
        </w:numPr>
      </w:pPr>
      <w:r>
        <w:t xml:space="preserve">Related:</w:t>
      </w:r>
      <w:r>
        <w:t xml:space="preserve"> </w:t>
      </w:r>
      <w:hyperlink r:id="rId20">
        <w:r>
          <w:rPr>
            <w:rStyle w:val="Hyperlink"/>
          </w:rPr>
          <w:t xml:space="preserve">Issue C5</w:t>
        </w:r>
      </w:hyperlink>
      <w:r>
        <w:t xml:space="preserve">, C4, C1; Forms C4-1, C1-2.</w:t>
      </w:r>
    </w:p>
    <w:bookmarkEnd w:id="21"/>
    <w:bookmarkEnd w:id="22"/>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c5.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c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C5-1. Answer to a DOHA Statement of Reasons (Psychological Conditions, Personal Conduct, Outside Activities)</dc:title>
  <dc:creator>nhilaw.com</dc:creator>
  <cp:keywords/>
  <dcterms:created xsi:type="dcterms:W3CDTF">2026-10-19T03:13:12Z</dcterms:created>
  <dcterms:modified xsi:type="dcterms:W3CDTF">2026-10-19T03:13:12Z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