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Security Clearance Practice for UAP Witnesses, Experiencers, and Researchers</w:t>
      </w:r>
    </w:p>
    <w:p>
      <w:pPr>
        <w:pStyle w:val="Subtitle"/>
      </w:pPr>
      <w:r>
        <w:t xml:space="preserve">Version 1.10 · October 2026 · nhilaw.com/issues/c5.html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For most cleared UAP insiders the clearance is the thing most at risk, and the clearance proceeding is where the matter is decided. Courts will not review the merits (</w:t>
      </w:r>
      <w:r>
        <w:rPr>
          <w:iCs/>
          <w:i/>
        </w:rPr>
        <w:t xml:space="preserve">Egan</w:t>
      </w:r>
      <w:r>
        <w:t xml:space="preserve">), so the record built in the agency proceeding is usually the whole case.</w:t>
      </w:r>
    </w:p>
    <w:p>
      <w:pPr>
        <w:pStyle w:val="Compact"/>
        <w:numPr>
          <w:ilvl w:val="0"/>
          <w:numId w:val="1001"/>
        </w:numPr>
      </w:pPr>
      <w:r>
        <w:t xml:space="preserve">Contractor employees go to the Defense Office of Hearings and Appeals under DoD Directive 5220.6: an answer to the Statement of Reasons is due within 20 days, a notice of appeal within 15 days of the decision, and the appeal brief within 45 days. Federal employees have the narrower procedures of Executive Order 12968 §5.2.</w:t>
      </w:r>
    </w:p>
    <w:p>
      <w:pPr>
        <w:pStyle w:val="Compact"/>
        <w:numPr>
          <w:ilvl w:val="0"/>
          <w:numId w:val="1001"/>
        </w:numPr>
      </w:pPr>
      <w:r>
        <w:t xml:space="preserve">The SF-86 asks about mental health only in five specific ways (Section 21). Reporting an unusual experience to a therapist does not by itself require a</w:t>
      </w:r>
      <w:r>
        <w:t xml:space="preserve"> </w:t>
      </w:r>
      <w:r>
        <w:t xml:space="preserve">“</w:t>
      </w:r>
      <w:r>
        <w:t xml:space="preserve">yes,</w:t>
      </w:r>
      <w:r>
        <w:t xml:space="preserve">”</w:t>
      </w:r>
      <w:r>
        <w:t xml:space="preserve"> </w:t>
      </w:r>
      <w:r>
        <w:t xml:space="preserve">and SEAD 4 forbids any negative inference</w:t>
      </w:r>
      <w:r>
        <w:t xml:space="preserve"> </w:t>
      </w:r>
      <w:r>
        <w:t xml:space="preserve">“</w:t>
      </w:r>
      <w:r>
        <w:t xml:space="preserve">solely on the basis of mental health counseling.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t xml:space="preserve">Candor (Guideline E) is the guideline most often lost. A client who minimizes an experience or an outside activity on the form or in an interview creates a worse problem than the underlying fact.</w:t>
      </w:r>
    </w:p>
    <w:p>
      <w:pPr>
        <w:pStyle w:val="Compact"/>
        <w:numPr>
          <w:ilvl w:val="0"/>
          <w:numId w:val="1001"/>
        </w:numPr>
      </w:pPr>
      <w:r>
        <w:t xml:space="preserve">Volunteer work for a UAP research organization that publishes on defense or intelligence topics falls within Guideline L ¶37(a)(4) and must be reported where reporting is required.</w:t>
      </w:r>
    </w:p>
    <w:p>
      <w:pPr>
        <w:pStyle w:val="Compact"/>
        <w:numPr>
          <w:ilvl w:val="0"/>
          <w:numId w:val="1001"/>
        </w:numPr>
      </w:pPr>
      <w:r>
        <w:t xml:space="preserve">A clearance action that follows a protected disclosure is reprisal; raise it in the clearance proceeding and preserve it for 50 U.S.C. §3341(j) (</w:t>
      </w:r>
      <w:hyperlink r:id="rId21">
        <w:r>
          <w:rPr>
            <w:rStyle w:val="Hyperlink"/>
          </w:rPr>
          <w:t xml:space="preserve">Issue C1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People who hold clearances and know something about UAP programs, or who have had experiences they cannot</w:t>
      </w:r>
      <w:r>
        <w:t xml:space="preserve"> </w:t>
      </w:r>
      <w:r>
        <w:t xml:space="preserve">explain, often stay silent because they fear losing the clearance. Their fear is reasonable. A clearance is a</w:t>
      </w:r>
      <w:r>
        <w:t xml:space="preserve"> </w:t>
      </w:r>
      <w:r>
        <w:t xml:space="preserve">condition of employment for most of them, revocation is reviewed only inside the executive branch, and the</w:t>
      </w:r>
      <w:r>
        <w:t xml:space="preserve"> </w:t>
      </w:r>
      <w:r>
        <w:t xml:space="preserve">standard resolves doubts against the individual. Jay Stratton, a former director of the Navy’s UAP Task Force,</w:t>
      </w:r>
      <w:r>
        <w:t xml:space="preserve"> </w:t>
      </w:r>
      <w:r>
        <w:t xml:space="preserve">describes his wife keeping an experience at their home to herself because she feared that if it became known he</w:t>
      </w:r>
      <w:r>
        <w:t xml:space="preserve"> </w:t>
      </w:r>
      <w:r>
        <w:t xml:space="preserve">would be thought unstable and lose his clearance (Stratton,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ch. 20 (2026)). His account is</w:t>
      </w:r>
      <w:r>
        <w:t xml:space="preserve"> </w:t>
      </w:r>
      <w:r>
        <w:t xml:space="preserve">the author’s own, but the reaction it describes is common.</w:t>
      </w:r>
    </w:p>
    <w:p>
      <w:pPr>
        <w:pStyle w:val="BodyText"/>
      </w:pPr>
      <w:r>
        <w:t xml:space="preserve">This analysis covers the adjudicative standard, the procedures for contractor and federal employees, the</w:t>
      </w:r>
      <w:r>
        <w:t xml:space="preserve"> </w:t>
      </w:r>
      <w:r>
        <w:t xml:space="preserve">guidelines that matter in UAP cases, and how to prepare. It builds on</w:t>
      </w:r>
      <w:r>
        <w:t xml:space="preserve"> </w:t>
      </w:r>
      <w:hyperlink r:id="rId23">
        <w:r>
          <w:rPr>
            <w:rStyle w:val="Hyperlink"/>
          </w:rPr>
          <w:t xml:space="preserve">Issue C4</w:t>
        </w:r>
      </w:hyperlink>
      <w:r>
        <w:t xml:space="preserve">, which covers the representation</w:t>
      </w:r>
      <w:r>
        <w:t xml:space="preserve"> </w:t>
      </w:r>
      <w:r>
        <w:t xml:space="preserve">itself, and</w:t>
      </w:r>
      <w:r>
        <w:t xml:space="preserve"> </w:t>
      </w:r>
      <w:hyperlink r:id="rId21">
        <w:r>
          <w:rPr>
            <w:rStyle w:val="Hyperlink"/>
          </w:rPr>
          <w:t xml:space="preserve">Issue C1</w:t>
        </w:r>
      </w:hyperlink>
      <w:r>
        <w:t xml:space="preserve">, which covers reprisal.</w:t>
      </w:r>
    </w:p>
    <w:p>
      <w:r>
        <w:pict>
          <v:rect style="width:0;height:1.5pt" o:hralign="center" o:hrstd="t" o:hr="t"/>
        </w:pict>
      </w:r>
    </w:p>
    <w:bookmarkEnd w:id="24"/>
    <w:bookmarkStart w:id="25" w:name="the-standard-and-who-decides"/>
    <w:p>
      <w:pPr>
        <w:pStyle w:val="Heading2"/>
      </w:pPr>
      <w:r>
        <w:t xml:space="preserve">2. The standard and who decides</w:t>
      </w:r>
    </w:p>
    <w:p>
      <w:pPr>
        <w:pStyle w:val="FirstParagraph"/>
      </w:pPr>
      <w:r>
        <w:rPr>
          <w:bCs/>
          <w:b/>
        </w:rPr>
        <w:t xml:space="preserve">Executive discretion.</w:t>
      </w:r>
      <w:r>
        <w:t xml:space="preserve"> </w:t>
      </w:r>
      <w:r>
        <w:t xml:space="preserve">The grant of a clearance is a discretionary judgment committed to the executive branch.</w:t>
      </w:r>
      <w:r>
        <w:t xml:space="preserve"> </w:t>
      </w:r>
      <w:r>
        <w:rPr>
          <w:iCs/>
          <w:i/>
        </w:rPr>
        <w:t xml:space="preserve">Department of the Navy v. Egan</w:t>
      </w:r>
      <w:r>
        <w:t xml:space="preserve">, 484 U.S. 518, 527-29 (1988). The D.C. Circuit holds that constitutional</w:t>
      </w:r>
      <w:r>
        <w:t xml:space="preserve"> </w:t>
      </w:r>
      <w:r>
        <w:t xml:space="preserve">challenges to clearance denials and revocations are nonjusticiable, distinguishing</w:t>
      </w:r>
      <w:r>
        <w:t xml:space="preserve"> </w:t>
      </w:r>
      <w:r>
        <w:rPr>
          <w:iCs/>
          <w:i/>
        </w:rPr>
        <w:t xml:space="preserve">Webster v. Doe</w:t>
      </w:r>
      <w:r>
        <w:t xml:space="preserve">, 486 U.S. 592,</w:t>
      </w:r>
      <w:r>
        <w:t xml:space="preserve"> </w:t>
      </w:r>
      <w:r>
        <w:t xml:space="preserve">603 (1988), which allowed colorable constitutional claims against a security-related firing.</w:t>
      </w:r>
      <w:r>
        <w:t xml:space="preserve"> </w:t>
      </w:r>
      <w:r>
        <w:rPr>
          <w:iCs/>
          <w:i/>
        </w:rPr>
        <w:t xml:space="preserve">Lee v. Garland</w:t>
      </w:r>
      <w:r>
        <w:t xml:space="preserve">, 120</w:t>
      </w:r>
      <w:r>
        <w:t xml:space="preserve"> </w:t>
      </w:r>
      <w:r>
        <w:t xml:space="preserve">F.4th 880, 887-88, 895 (D.C. Cir. 2024). The Fourth Circuit likewise holds that courts lack jurisdiction over a</w:t>
      </w:r>
      <w:r>
        <w:t xml:space="preserve"> </w:t>
      </w:r>
      <w:r>
        <w:t xml:space="preserve">revocation absent a specific congressional mandate, and treats conclusory constitutional allegations as attempts to</w:t>
      </w:r>
      <w:r>
        <w:t xml:space="preserve"> </w:t>
      </w:r>
      <w:r>
        <w:t xml:space="preserve">reach the merits.</w:t>
      </w:r>
      <w:r>
        <w:t xml:space="preserve"> </w:t>
      </w:r>
      <w:r>
        <w:rPr>
          <w:iCs/>
          <w:i/>
        </w:rPr>
        <w:t xml:space="preserve">Hegab v. Long</w:t>
      </w:r>
      <w:r>
        <w:t xml:space="preserve">, 716 F.3d 790, 794-97 (4th Cir. 2013). The Third Circuit reads</w:t>
      </w:r>
      <w:r>
        <w:t xml:space="preserve"> </w:t>
      </w:r>
      <w:r>
        <w:rPr>
          <w:iCs/>
          <w:i/>
        </w:rPr>
        <w:t xml:space="preserve">Egan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Webster</w:t>
      </w:r>
      <w:r>
        <w:t xml:space="preserve"> </w:t>
      </w:r>
      <w:r>
        <w:t xml:space="preserve">together and will hear a constitutional claim about a revocation while declining to review its merits.</w:t>
      </w:r>
      <w:r>
        <w:t xml:space="preserve"> </w:t>
      </w:r>
      <w:r>
        <w:rPr>
          <w:iCs/>
          <w:i/>
        </w:rPr>
        <w:t xml:space="preserve">El-Ganayni v. U.S. Department of Energy</w:t>
      </w:r>
      <w:r>
        <w:t xml:space="preserve">, 591 F.3d 176, 182-85 (3d Cir. 2010) (First Amendment retaliation claim</w:t>
      </w:r>
      <w:r>
        <w:t xml:space="preserve"> </w:t>
      </w:r>
      <w:r>
        <w:t xml:space="preserve">heard and rejected). Two other openings remain in the D.C. Circuit. Procedural challenges to a summary revocation</w:t>
      </w:r>
      <w:r>
        <w:t xml:space="preserve"> </w:t>
      </w:r>
      <w:r>
        <w:t xml:space="preserve">can proceed.</w:t>
      </w:r>
      <w:r>
        <w:t xml:space="preserve"> </w:t>
      </w:r>
      <w:r>
        <w:rPr>
          <w:iCs/>
          <w:i/>
        </w:rPr>
        <w:t xml:space="preserve">Zaid v. Executive Office of the President</w:t>
      </w:r>
      <w:r>
        <w:t xml:space="preserve">, 815 F. Supp. 3d 113 (D.D.C. 2025), appeal pending, No.</w:t>
      </w:r>
      <w:r>
        <w:t xml:space="preserve"> </w:t>
      </w:r>
      <w:r>
        <w:t xml:space="preserve">26-5009 (D.C. Cir., argued May 14, 2026). A Title VII claim can reach coworkers who referred knowingly false information to security</w:t>
      </w:r>
      <w:r>
        <w:t xml:space="preserve"> </w:t>
      </w:r>
      <w:r>
        <w:t xml:space="preserve">officials, because the bar covers only the security adjudicators’ own decisions.</w:t>
      </w:r>
      <w:r>
        <w:t xml:space="preserve"> </w:t>
      </w:r>
      <w:r>
        <w:rPr>
          <w:iCs/>
          <w:i/>
        </w:rPr>
        <w:t xml:space="preserve">Rattigan v. Holder</w:t>
      </w:r>
      <w:r>
        <w:t xml:space="preserve">, 689 F.3d</w:t>
      </w:r>
      <w:r>
        <w:t xml:space="preserve"> </w:t>
      </w:r>
      <w:r>
        <w:t xml:space="preserve">764, 768-71 (D.C. Cir. 2012). For a UAP witness reported to security by a colleague, the</w:t>
      </w:r>
      <w:r>
        <w:t xml:space="preserve"> </w:t>
      </w:r>
      <w:r>
        <w:rPr>
          <w:iCs/>
          <w:i/>
        </w:rPr>
        <w:t xml:space="preserve">Rattigan</w:t>
      </w:r>
      <w:r>
        <w:t xml:space="preserve"> </w:t>
      </w:r>
      <w:r>
        <w:t xml:space="preserve">theory is the</w:t>
      </w:r>
      <w:r>
        <w:t xml:space="preserve"> </w:t>
      </w:r>
      <w:r>
        <w:t xml:space="preserve">one route into court that does not depend on reviewing the clearance decision itself.</w:t>
      </w:r>
    </w:p>
    <w:p>
      <w:pPr>
        <w:pStyle w:val="BodyText"/>
      </w:pPr>
      <w:r>
        <w:rPr>
          <w:bCs/>
          <w:b/>
        </w:rPr>
        <w:t xml:space="preserve">The adjudicative guidelines.</w:t>
      </w:r>
      <w:r>
        <w:t xml:space="preserve"> </w:t>
      </w:r>
      <w:r>
        <w:t xml:space="preserve">Security Executive Agent Directive 4 (June 8, 2017) sets the national security</w:t>
      </w:r>
      <w:r>
        <w:t xml:space="preserve"> </w:t>
      </w:r>
      <w:r>
        <w:t xml:space="preserve">adjudicative guidelines for all agencies. The adjudicator weighs</w:t>
      </w:r>
      <w:r>
        <w:t xml:space="preserve"> </w:t>
      </w:r>
      <w:r>
        <w:t xml:space="preserve">“</w:t>
      </w:r>
      <w:r>
        <w:t xml:space="preserve">[a]ll available, reliable information about the</w:t>
      </w:r>
      <w:r>
        <w:t xml:space="preserve"> </w:t>
      </w:r>
      <w:r>
        <w:t xml:space="preserve">person, past and present, favorable and unfavorable</w:t>
      </w:r>
      <w:r>
        <w:t xml:space="preserve">”</w:t>
      </w:r>
      <w:r>
        <w:t xml:space="preserve"> </w:t>
      </w:r>
      <w:r>
        <w:t xml:space="preserve">(the</w:t>
      </w:r>
      <w:r>
        <w:t xml:space="preserve"> </w:t>
      </w:r>
      <w:r>
        <w:t xml:space="preserve">“</w:t>
      </w:r>
      <w:r>
        <w:t xml:space="preserve">whole-person concept</w:t>
      </w:r>
      <w:r>
        <w:t xml:space="preserve">”</w:t>
      </w:r>
      <w:r>
        <w:t xml:space="preserve">), and</w:t>
      </w:r>
      <w:r>
        <w:t xml:space="preserve"> </w:t>
      </w:r>
      <w:r>
        <w:t xml:space="preserve">“</w:t>
      </w:r>
      <w:r>
        <w:t xml:space="preserve">[a]ny doubt concerning</w:t>
      </w:r>
      <w:r>
        <w:t xml:space="preserve"> </w:t>
      </w:r>
      <w:r>
        <w:t xml:space="preserve">personnel being considered for national security eligibility will be resolved in favor of the national security.</w:t>
      </w:r>
      <w:r>
        <w:t xml:space="preserve">”</w:t>
      </w:r>
      <w:r>
        <w:t xml:space="preserve"> </w:t>
      </w:r>
      <w:r>
        <w:t xml:space="preserve">SEAD 4, App. A ¶2(a)-(b). The thirteen guidelines (A through M) each state a concern, disqualifying conditions, and</w:t>
      </w:r>
      <w:r>
        <w:t xml:space="preserve"> </w:t>
      </w:r>
      <w:r>
        <w:t xml:space="preserve">mitigating conditions.</w:t>
      </w:r>
    </w:p>
    <w:p>
      <w:pPr>
        <w:pStyle w:val="BodyText"/>
      </w:pPr>
      <w:r>
        <w:rPr>
          <w:bCs/>
          <w:b/>
        </w:rPr>
        <w:t xml:space="preserve">The Bond Amendment.</w:t>
      </w:r>
      <w:r>
        <w:t xml:space="preserve"> </w:t>
      </w:r>
      <w:r>
        <w:t xml:space="preserve">For special access programs, Restricted Data, and SCI, an agency may not grant or renew a</w:t>
      </w:r>
      <w:r>
        <w:t xml:space="preserve"> </w:t>
      </w:r>
      <w:r>
        <w:t xml:space="preserve">clearance for a person who</w:t>
      </w:r>
      <w:r>
        <w:t xml:space="preserve"> </w:t>
      </w:r>
      <w:r>
        <w:t xml:space="preserve">“</w:t>
      </w:r>
      <w:r>
        <w:t xml:space="preserve">is mentally incompetent, as determined by an adjudicating authority, based on an</w:t>
      </w:r>
      <w:r>
        <w:t xml:space="preserve"> </w:t>
      </w:r>
      <w:r>
        <w:t xml:space="preserve">evaluation by a duly qualified mental health professional employed by, or acceptable to and approved by, the United</w:t>
      </w:r>
      <w:r>
        <w:t xml:space="preserve"> </w:t>
      </w:r>
      <w:r>
        <w:t xml:space="preserve">States Government,</w:t>
      </w:r>
      <w:r>
        <w:t xml:space="preserve">”</w:t>
      </w:r>
      <w:r>
        <w:t xml:space="preserve"> </w:t>
      </w:r>
      <w:r>
        <w:t xml:space="preserve">absent a written waiver. 50 U.S.C. §3343(c)(1)(C), (c)(2). The standard is incompetence, a</w:t>
      </w:r>
      <w:r>
        <w:t xml:space="preserve"> </w:t>
      </w:r>
      <w:r>
        <w:t xml:space="preserve">high bar that ordinary counseling and treatment do not approach.</w:t>
      </w:r>
    </w:p>
    <w:p>
      <w:r>
        <w:pict>
          <v:rect style="width:0;height:1.5pt" o:hralign="center" o:hrstd="t" o:hr="t"/>
        </w:pict>
      </w:r>
    </w:p>
    <w:bookmarkEnd w:id="25"/>
    <w:bookmarkStart w:id="30" w:name="procedures"/>
    <w:p>
      <w:pPr>
        <w:pStyle w:val="Heading2"/>
      </w:pPr>
      <w:r>
        <w:t xml:space="preserve">3. Procedures</w:t>
      </w:r>
    </w:p>
    <w:bookmarkStart w:id="26" w:name="contractor-employees-doha"/>
    <w:p>
      <w:pPr>
        <w:pStyle w:val="Heading3"/>
      </w:pPr>
      <w:r>
        <w:t xml:space="preserve">3.1 Contractor employees: DOHA</w:t>
      </w:r>
    </w:p>
    <w:p>
      <w:pPr>
        <w:pStyle w:val="FirstParagraph"/>
      </w:pPr>
      <w:r>
        <w:t xml:space="preserve">Industrial clearances are adjudicated under DoD Directive 5220.6,</w:t>
      </w:r>
      <w:r>
        <w:t xml:space="preserve"> </w:t>
      </w:r>
      <w:r>
        <w:rPr>
          <w:iCs/>
          <w:i/>
        </w:rPr>
        <w:t xml:space="preserve">Defense Industrial Personnel Security</w:t>
      </w:r>
      <w:r>
        <w:rPr>
          <w:iCs/>
          <w:i/>
        </w:rPr>
        <w:t xml:space="preserve"> </w:t>
      </w:r>
      <w:r>
        <w:rPr>
          <w:iCs/>
          <w:i/>
        </w:rPr>
        <w:t xml:space="preserve">Clearance Review Program</w:t>
      </w:r>
      <w:r>
        <w:t xml:space="preserve"> </w:t>
      </w:r>
      <w:r>
        <w:t xml:space="preserve">(incorporating Change 4, Apr. 20, 1999), Enclosure 3.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Statement of Reasons.</w:t>
      </w:r>
      <w:r>
        <w:t xml:space="preserve"> </w:t>
      </w:r>
      <w:r>
        <w:t xml:space="preserve">No unfavorable decision may be made without a written SOR</w:t>
      </w:r>
      <w:r>
        <w:t xml:space="preserve"> </w:t>
      </w:r>
      <w:r>
        <w:t xml:space="preserve">“</w:t>
      </w:r>
      <w:r>
        <w:t xml:space="preserve">as detailed and</w:t>
      </w:r>
      <w:r>
        <w:t xml:space="preserve"> </w:t>
      </w:r>
      <w:r>
        <w:t xml:space="preserve">comprehensive as the national security permits</w:t>
      </w:r>
      <w:r>
        <w:t xml:space="preserve">”</w:t>
      </w:r>
      <w:r>
        <w:t xml:space="preserve"> </w:t>
      </w:r>
      <w:r>
        <w:t xml:space="preserve">(¶E3.1.3).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Answer.</w:t>
      </w:r>
      <w:r>
        <w:t xml:space="preserve"> </w:t>
      </w:r>
      <w:r>
        <w:t xml:space="preserve">The applicant must answer under oath, admitting or denying each allegation;</w:t>
      </w:r>
      <w:r>
        <w:t xml:space="preserve"> </w:t>
      </w:r>
      <w:r>
        <w:t xml:space="preserve">“</w:t>
      </w:r>
      <w:r>
        <w:t xml:space="preserve">[a] general denial or</w:t>
      </w:r>
      <w:r>
        <w:t xml:space="preserve"> </w:t>
      </w:r>
      <w:r>
        <w:t xml:space="preserve">other similar answer is insufficient.</w:t>
      </w:r>
      <w:r>
        <w:t xml:space="preserve">”</w:t>
      </w:r>
      <w:r>
        <w:t xml:space="preserve"> </w:t>
      </w:r>
      <w:r>
        <w:t xml:space="preserve">The answer must be received within 20 days of receipt of the SOR, and a</w:t>
      </w:r>
      <w:r>
        <w:t xml:space="preserve"> </w:t>
      </w:r>
      <w:r>
        <w:t xml:space="preserve">hearing must be requested in the answer (¶E3.1.4). Extensions require good cause. A late or unresponsive answer</w:t>
      </w:r>
      <w:r>
        <w:t xml:space="preserve"> </w:t>
      </w:r>
      <w:r>
        <w:t xml:space="preserve">allows DOHA to stop processing and revoke the clearance (¶E3.1.5).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Written record or hearing.</w:t>
      </w:r>
      <w:r>
        <w:t xml:space="preserve"> </w:t>
      </w:r>
      <w:r>
        <w:t xml:space="preserve">Without a hearing request, the case is decided on the written record; the</w:t>
      </w:r>
      <w:r>
        <w:t xml:space="preserve"> </w:t>
      </w:r>
      <w:r>
        <w:t xml:space="preserve">applicant receives the government’s file and has 30 days to respond (¶E3.1.7). With a hearing, the applicant</w:t>
      </w:r>
      <w:r>
        <w:t xml:space="preserve"> </w:t>
      </w:r>
      <w:r>
        <w:t xml:space="preserve">gets at least 15 days’ notice, appears in person, and may have counsel (¶E3.1.8).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Appeal.</w:t>
      </w:r>
      <w:r>
        <w:t xml:space="preserve"> </w:t>
      </w:r>
      <w:r>
        <w:t xml:space="preserve">A notice of appeal to the DOHA Appeal Board is due within 15 days after the administrative judge’s</w:t>
      </w:r>
      <w:r>
        <w:t xml:space="preserve"> </w:t>
      </w:r>
      <w:r>
        <w:t xml:space="preserve">decision (¶E3.1.28), and the appeal brief within 45 days of the decision (¶E3.1.30). The Board receives no new</w:t>
      </w:r>
      <w:r>
        <w:t xml:space="preserve"> </w:t>
      </w:r>
      <w:r>
        <w:t xml:space="preserve">evidence (¶E3.1.29), so everything the client needs must be in the record below.</w:t>
      </w:r>
    </w:p>
    <w:p>
      <w:pPr>
        <w:pStyle w:val="FirstParagraph"/>
      </w:pPr>
      <w:r>
        <w:rPr>
          <w:bCs/>
          <w:b/>
        </w:rPr>
        <w:t xml:space="preserve">Request a hearing.</w:t>
      </w:r>
      <w:r>
        <w:t xml:space="preserve"> </w:t>
      </w:r>
      <w:r>
        <w:t xml:space="preserve">A hearing lets the judge assess credibility, which is decisive in experiencer and candor</w:t>
      </w:r>
      <w:r>
        <w:t xml:space="preserve"> </w:t>
      </w:r>
      <w:r>
        <w:t xml:space="preserve">cases. A written-record case is decided on the government’s file and the applicant’s paper response.</w:t>
      </w:r>
    </w:p>
    <w:bookmarkEnd w:id="26"/>
    <w:bookmarkStart w:id="27" w:name="X8ac02de0da1d4bde7304c4484563b815bc9dbbc"/>
    <w:p>
      <w:pPr>
        <w:pStyle w:val="Heading3"/>
      </w:pPr>
      <w:r>
        <w:t xml:space="preserve">3.2 Federal employees: Executive Order 12968 §5.2</w:t>
      </w:r>
    </w:p>
    <w:p>
      <w:pPr>
        <w:pStyle w:val="FirstParagraph"/>
      </w:pPr>
      <w:r>
        <w:t xml:space="preserve">Federal employees and applicants found not to meet the standards are entitled to a written explanation</w:t>
      </w:r>
      <w:r>
        <w:t xml:space="preserve"> </w:t>
      </w:r>
      <w:r>
        <w:t xml:space="preserve">“</w:t>
      </w:r>
      <w:r>
        <w:t xml:space="preserve">as</w:t>
      </w:r>
      <w:r>
        <w:t xml:space="preserve"> </w:t>
      </w:r>
      <w:r>
        <w:t xml:space="preserve">comprehensive and detailed … as the national security interests … permit</w:t>
      </w:r>
      <w:r>
        <w:t xml:space="preserve">”</w:t>
      </w:r>
      <w:r>
        <w:t xml:space="preserve">; within 30 days on request, the</w:t>
      </w:r>
      <w:r>
        <w:t xml:space="preserve"> </w:t>
      </w:r>
      <w:r>
        <w:t xml:space="preserve">documents on which the decision is based; notice of the right to counsel at their own expense and to request the</w:t>
      </w:r>
      <w:r>
        <w:t xml:space="preserve"> </w:t>
      </w:r>
      <w:r>
        <w:t xml:space="preserve">entire investigative file before replying; a written reply and review; written notice of the result; an appeal in</w:t>
      </w:r>
      <w:r>
        <w:t xml:space="preserve"> </w:t>
      </w:r>
      <w:r>
        <w:t xml:space="preserve">writing to a panel of at least three members, two from outside the security field; and an opportunity to appear</w:t>
      </w:r>
      <w:r>
        <w:t xml:space="preserve"> </w:t>
      </w:r>
      <w:r>
        <w:t xml:space="preserve">personally at some point in the process. Exec. Order No. 12968 §5.2(a)(1)-(7) (1995),</w:t>
      </w:r>
      <w:r>
        <w:t xml:space="preserve"> </w:t>
      </w:r>
      <w:r>
        <w:rPr>
          <w:iCs/>
          <w:i/>
        </w:rPr>
        <w:t xml:space="preserve">reprinted in</w:t>
      </w:r>
      <w:r>
        <w:t xml:space="preserve"> </w:t>
      </w:r>
      <w:r>
        <w:t xml:space="preserve">50 U.S.C.</w:t>
      </w:r>
      <w:r>
        <w:t xml:space="preserve"> </w:t>
      </w:r>
      <w:r>
        <w:t xml:space="preserve">§3161 note. The section</w:t>
      </w:r>
      <w:r>
        <w:t xml:space="preserve"> </w:t>
      </w:r>
      <w:r>
        <w:t xml:space="preserve">“</w:t>
      </w:r>
      <w:r>
        <w:t xml:space="preserve">creates no procedural or substantive rights</w:t>
      </w:r>
      <w:r>
        <w:t xml:space="preserve">”</w:t>
      </w:r>
      <w:r>
        <w:t xml:space="preserve"> </w:t>
      </w:r>
      <w:r>
        <w:t xml:space="preserve">(§5.2(c)), and an agency head may withhold a</w:t>
      </w:r>
      <w:r>
        <w:t xml:space="preserve"> </w:t>
      </w:r>
      <w:r>
        <w:t xml:space="preserve">procedure by certifying that it would reveal classified information (§5.2(d)). Each agency’s implementing</w:t>
      </w:r>
      <w:r>
        <w:t xml:space="preserve"> </w:t>
      </w:r>
      <w:r>
        <w:t xml:space="preserve">regulation sets its deadlines; read it on the day the notice arrives.</w:t>
      </w:r>
    </w:p>
    <w:bookmarkEnd w:id="27"/>
    <w:bookmarkStart w:id="28" w:name="intelligence-community-and-reprisal"/>
    <w:p>
      <w:pPr>
        <w:pStyle w:val="Heading3"/>
      </w:pPr>
      <w:r>
        <w:t xml:space="preserve">3.3 Intelligence community and reprisal</w:t>
      </w:r>
    </w:p>
    <w:p>
      <w:pPr>
        <w:pStyle w:val="FirstParagraph"/>
      </w:pPr>
      <w:r>
        <w:t xml:space="preserve">An intelligence community employee who believes a clearance action was taken in reprisal for a protected</w:t>
      </w:r>
      <w:r>
        <w:t xml:space="preserve"> </w:t>
      </w:r>
      <w:r>
        <w:t xml:space="preserve">disclosure uses the §3341(j) process: an agency appeal within 90 days of notice, then an appeal to the DNI within 60</w:t>
      </w:r>
      <w:r>
        <w:t xml:space="preserve"> </w:t>
      </w:r>
      <w:r>
        <w:t xml:space="preserve">days of the final agency decision (</w:t>
      </w:r>
      <w:hyperlink r:id="rId21">
        <w:r>
          <w:rPr>
            <w:rStyle w:val="Hyperlink"/>
          </w:rPr>
          <w:t xml:space="preserve">Issue C1</w:t>
        </w:r>
      </w:hyperlink>
      <w:r>
        <w:t xml:space="preserve"> </w:t>
      </w:r>
      <w:r>
        <w:t xml:space="preserve">§4.1). The reprisal claim and the merits defense should be presented</w:t>
      </w:r>
      <w:r>
        <w:t xml:space="preserve"> </w:t>
      </w:r>
      <w:r>
        <w:t xml:space="preserve">together, because the agency will find no violation if it shows by a preponderance of the evidence that it would</w:t>
      </w:r>
      <w:r>
        <w:t xml:space="preserve"> </w:t>
      </w:r>
      <w:r>
        <w:t xml:space="preserve">have acted anyway.</w:t>
      </w:r>
    </w:p>
    <w:bookmarkEnd w:id="28"/>
    <w:bookmarkStart w:id="29" w:name="continuous-vetting"/>
    <w:p>
      <w:pPr>
        <w:pStyle w:val="Heading3"/>
      </w:pPr>
      <w:r>
        <w:t xml:space="preserve">3.4 Continuous vetting</w:t>
      </w:r>
    </w:p>
    <w:p>
      <w:pPr>
        <w:pStyle w:val="FirstParagraph"/>
      </w:pPr>
      <w:r>
        <w:t xml:space="preserve">Most clearance holders are now enrolled in continuous vetting, which runs automated record checks between</w:t>
      </w:r>
      <w:r>
        <w:t xml:space="preserve"> </w:t>
      </w:r>
      <w:r>
        <w:t xml:space="preserve">investigations. A client’s public statements, social media, travel, and arrests can generate an alert at any time,</w:t>
      </w:r>
      <w:r>
        <w:t xml:space="preserve"> </w:t>
      </w:r>
      <w:r>
        <w:t xml:space="preserve">and self-reporting obligations continue. The practical effect is that a client who begins speaking publicly about</w:t>
      </w:r>
      <w:r>
        <w:t xml:space="preserve"> </w:t>
      </w:r>
      <w:r>
        <w:t xml:space="preserve">UAP should expect the security office to learn of it promptly and should report outside activities before the</w:t>
      </w:r>
      <w:r>
        <w:t xml:space="preserve"> </w:t>
      </w:r>
      <w:r>
        <w:t xml:space="preserve">office asks.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9" w:name="the-guidelines-in-uap-cases"/>
    <w:p>
      <w:pPr>
        <w:pStyle w:val="Heading2"/>
      </w:pPr>
      <w:r>
        <w:t xml:space="preserve">4. The guidelines in UAP cases</w:t>
      </w:r>
    </w:p>
    <w:bookmarkStart w:id="31" w:name="Xd20e329307494176e73b50b7536f18c9fcd94e1"/>
    <w:p>
      <w:pPr>
        <w:pStyle w:val="Heading3"/>
      </w:pPr>
      <w:r>
        <w:t xml:space="preserve">4.1 Psychological conditions (Guideline I) and experiencers</w:t>
      </w:r>
    </w:p>
    <w:p>
      <w:pPr>
        <w:pStyle w:val="FirstParagraph"/>
      </w:pPr>
      <w:r>
        <w:rPr>
          <w:bCs/>
          <w:b/>
        </w:rPr>
        <w:t xml:space="preserve">What the SF-86 asks.</w:t>
      </w:r>
      <w:r>
        <w:t xml:space="preserve"> </w:t>
      </w:r>
      <w:r>
        <w:t xml:space="preserve">Section 21 of the SF-86 (rev. Nov. 2016) asks five questions: whether a court or</w:t>
      </w:r>
      <w:r>
        <w:t xml:space="preserve"> </w:t>
      </w:r>
      <w:r>
        <w:t xml:space="preserve">administrative agency has ever declared the applicant mentally incompetent (21A) or ordered consultation with a</w:t>
      </w:r>
      <w:r>
        <w:t xml:space="preserve"> </w:t>
      </w:r>
      <w:r>
        <w:t xml:space="preserve">mental health professional (21B); whether the applicant has ever been hospitalized for a mental health condition</w:t>
      </w:r>
      <w:r>
        <w:t xml:space="preserve"> </w:t>
      </w:r>
      <w:r>
        <w:t xml:space="preserve">(21C); whether the applicant has ever been diagnosed with psychotic disorder, schizophrenia, schizoaffective</w:t>
      </w:r>
      <w:r>
        <w:t xml:space="preserve"> </w:t>
      </w:r>
      <w:r>
        <w:t xml:space="preserve">disorder, delusional disorder, bipolar mood disorder, borderline personality disorder, or antisocial personality</w:t>
      </w:r>
      <w:r>
        <w:t xml:space="preserve"> </w:t>
      </w:r>
      <w:r>
        <w:t xml:space="preserve">disorder (21D); and whether the applicant has a condition that</w:t>
      </w:r>
      <w:r>
        <w:t xml:space="preserve"> </w:t>
      </w:r>
      <w:r>
        <w:t xml:space="preserve">“</w:t>
      </w:r>
      <w:r>
        <w:t xml:space="preserve">substantially adversely affects</w:t>
      </w:r>
      <w:r>
        <w:t xml:space="preserve">”</w:t>
      </w:r>
      <w:r>
        <w:t xml:space="preserve"> </w:t>
      </w:r>
      <w:r>
        <w:t xml:space="preserve">judgment,</w:t>
      </w:r>
      <w:r>
        <w:t xml:space="preserve"> </w:t>
      </w:r>
      <w:r>
        <w:t xml:space="preserve">reliability, or trustworthiness (21E). The form’s own preface states that</w:t>
      </w:r>
      <w:r>
        <w:t xml:space="preserve"> </w:t>
      </w:r>
      <w:r>
        <w:t xml:space="preserve">“</w:t>
      </w:r>
      <w:r>
        <w:t xml:space="preserve">[m]ental health treatment and counseling,</w:t>
      </w:r>
      <w:r>
        <w:t xml:space="preserve"> </w:t>
      </w:r>
      <w:r>
        <w:t xml:space="preserve">in and of itself, is not a reason to revoke or deny eligibility.</w:t>
      </w:r>
      <w:r>
        <w:t xml:space="preserve">”</w:t>
      </w:r>
      <w:r>
        <w:t xml:space="preserve"> </w:t>
      </w:r>
      <w:r>
        <w:t xml:space="preserve">A client who saw a therapist after an unusual</w:t>
      </w:r>
      <w:r>
        <w:t xml:space="preserve"> </w:t>
      </w:r>
      <w:r>
        <w:t xml:space="preserve">experience, without a listed diagnosis, hospitalization, or order, answers</w:t>
      </w:r>
      <w:r>
        <w:t xml:space="preserve"> </w:t>
      </w:r>
      <w:r>
        <w:t xml:space="preserve">“</w:t>
      </w:r>
      <w:r>
        <w:t xml:space="preserve">no</w:t>
      </w:r>
      <w:r>
        <w:t xml:space="preserve">”</w:t>
      </w:r>
      <w:r>
        <w:t xml:space="preserve"> </w:t>
      </w:r>
      <w:r>
        <w:t xml:space="preserve">to 21A through 21D and answers</w:t>
      </w:r>
      <w:r>
        <w:t xml:space="preserve"> </w:t>
      </w:r>
      <w:r>
        <w:t xml:space="preserve">21E on the facts.</w:t>
      </w:r>
    </w:p>
    <w:p>
      <w:pPr>
        <w:pStyle w:val="BodyText"/>
      </w:pPr>
      <w:r>
        <w:rPr>
          <w:bCs/>
          <w:b/>
        </w:rPr>
        <w:t xml:space="preserve">What SEAD 4 says.</w:t>
      </w:r>
      <w:r>
        <w:t xml:space="preserve"> </w:t>
      </w:r>
      <w:r>
        <w:t xml:space="preserve">The concern is that</w:t>
      </w:r>
      <w:r>
        <w:t xml:space="preserve"> </w:t>
      </w:r>
      <w:r>
        <w:t xml:space="preserve">“</w:t>
      </w:r>
      <w:r>
        <w:t xml:space="preserve">[c]ertain emotional, mental, and personality conditions can impair</w:t>
      </w:r>
      <w:r>
        <w:t xml:space="preserve"> </w:t>
      </w:r>
      <w:r>
        <w:t xml:space="preserve">judgment, reliability, or trustworthiness,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[a] formal diagnosis of a disorder is not required.</w:t>
      </w:r>
      <w:r>
        <w:t xml:space="preserve">”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w:r>
        <w:t xml:space="preserve">[n]o</w:t>
      </w:r>
      <w:r>
        <w:t xml:space="preserve"> </w:t>
      </w:r>
      <w:r>
        <w:t xml:space="preserve">negative inference concerning the standards in this guideline may be raised solely on the basis of mental health</w:t>
      </w:r>
      <w:r>
        <w:t xml:space="preserve"> </w:t>
      </w:r>
      <w:r>
        <w:t xml:space="preserve">counseling.</w:t>
      </w:r>
      <w:r>
        <w:t xml:space="preserve">”</w:t>
      </w:r>
      <w:r>
        <w:t xml:space="preserve"> </w:t>
      </w:r>
      <w:r>
        <w:t xml:space="preserve">SEAD 4, App. A ¶27. The disqualifying conditions include</w:t>
      </w:r>
      <w:r>
        <w:t xml:space="preserve"> </w:t>
      </w:r>
      <w:r>
        <w:t xml:space="preserve">“</w:t>
      </w:r>
      <w:r>
        <w:t xml:space="preserve">behavior that casts doubt on an individual’s</w:t>
      </w:r>
      <w:r>
        <w:t xml:space="preserve"> </w:t>
      </w:r>
      <w:r>
        <w:t xml:space="preserve">judgment, stability, reliability, or trustworthiness … including … bizarre behaviors</w:t>
      </w:r>
      <w:r>
        <w:t xml:space="preserve">”</w:t>
      </w:r>
      <w:r>
        <w:t xml:space="preserve"> </w:t>
      </w:r>
      <w:r>
        <w:t xml:space="preserve">(¶28(a)) and an opinion by</w:t>
      </w:r>
      <w:r>
        <w:t xml:space="preserve"> </w:t>
      </w:r>
      <w:r>
        <w:t xml:space="preserve">a qualified mental health professional that the individual has a condition that may impair judgment (¶28(b)).</w:t>
      </w:r>
    </w:p>
    <w:p>
      <w:pPr>
        <w:pStyle w:val="BodyText"/>
      </w:pPr>
      <w:r>
        <w:rPr>
          <w:bCs/>
          <w:b/>
        </w:rPr>
        <w:t xml:space="preserve">Experiencer reports.</w:t>
      </w:r>
      <w:r>
        <w:t xml:space="preserve"> </w:t>
      </w:r>
      <w:r>
        <w:t xml:space="preserve">Reporting an observation of an object, or an experience the client cannot explain, is not</w:t>
      </w:r>
      <w:r>
        <w:t xml:space="preserve"> </w:t>
      </w:r>
      <w:r>
        <w:t xml:space="preserve">“</w:t>
      </w:r>
      <w:r>
        <w:t xml:space="preserve">bizarre behavior.</w:t>
      </w:r>
      <w:r>
        <w:t xml:space="preserve">”</w:t>
      </w:r>
      <w:r>
        <w:t xml:space="preserve"> </w:t>
      </w:r>
      <w:r>
        <w:t xml:space="preserve">Many credible observers, including military aircrew, have made such reports, and Congress has</w:t>
      </w:r>
      <w:r>
        <w:t xml:space="preserve"> </w:t>
      </w:r>
      <w:r>
        <w:t xml:space="preserve">created reporting channels for them (50 U.S.C. §§3373, 3373b). The risk arises when the account is presented without</w:t>
      </w:r>
      <w:r>
        <w:t xml:space="preserve"> </w:t>
      </w:r>
      <w:r>
        <w:t xml:space="preserve">context, or when the client’s description in an interview differs from the written record. Counsel’s task is to</w:t>
      </w:r>
      <w:r>
        <w:t xml:space="preserve"> </w:t>
      </w:r>
      <w:r>
        <w:t xml:space="preserve">present the experience as an observation reported by a stable person with an ordinary work and personal history.</w:t>
      </w:r>
    </w:p>
    <w:p>
      <w:pPr>
        <w:pStyle w:val="BodyText"/>
      </w:pPr>
      <w:r>
        <w:rPr>
          <w:bCs/>
          <w:b/>
        </w:rPr>
        <w:t xml:space="preserve">Mitigation.</w:t>
      </w:r>
      <w:r>
        <w:t xml:space="preserve"> </w:t>
      </w:r>
      <w:r>
        <w:t xml:space="preserve">The mitigating conditions include a recent favorable opinion by a mental health professional</w:t>
      </w:r>
      <w:r>
        <w:t xml:space="preserve"> </w:t>
      </w:r>
      <w:r>
        <w:t xml:space="preserve">“</w:t>
      </w:r>
      <w:r>
        <w:t xml:space="preserve">employed by, or acceptable to and approved by, the U.S. Government</w:t>
      </w:r>
      <w:r>
        <w:t xml:space="preserve">”</w:t>
      </w:r>
      <w:r>
        <w:t xml:space="preserve"> </w:t>
      </w:r>
      <w:r>
        <w:t xml:space="preserve">(¶29(c)), a temporary condition that has</w:t>
      </w:r>
      <w:r>
        <w:t xml:space="preserve"> </w:t>
      </w:r>
      <w:r>
        <w:t xml:space="preserve">resolved (¶29(d)), and</w:t>
      </w:r>
      <w:r>
        <w:t xml:space="preserve"> </w:t>
      </w:r>
      <w:r>
        <w:t xml:space="preserve">“</w:t>
      </w:r>
      <w:r>
        <w:t xml:space="preserve">no indication of a current problem</w:t>
      </w:r>
      <w:r>
        <w:t xml:space="preserve">”</w:t>
      </w:r>
      <w:r>
        <w:t xml:space="preserve"> </w:t>
      </w:r>
      <w:r>
        <w:t xml:space="preserve">(¶29(e)). If Guideline I is raised, obtain an</w:t>
      </w:r>
      <w:r>
        <w:t xml:space="preserve"> </w:t>
      </w:r>
      <w:r>
        <w:t xml:space="preserve">evaluation by a professional the government will accept, and ask in advance which professionals the agency</w:t>
      </w:r>
      <w:r>
        <w:t xml:space="preserve"> </w:t>
      </w:r>
      <w:r>
        <w:t xml:space="preserve">accepts.</w:t>
      </w:r>
    </w:p>
    <w:p>
      <w:pPr>
        <w:pStyle w:val="BodyText"/>
      </w:pPr>
      <w:r>
        <w:rPr>
          <w:bCs/>
          <w:b/>
        </w:rPr>
        <w:t xml:space="preserve">What the Appeal Board has held.</w:t>
      </w:r>
      <w:r>
        <w:t xml:space="preserve"> </w:t>
      </w:r>
      <w:r>
        <w:t xml:space="preserve">A DOHA judge</w:t>
      </w:r>
      <w:r>
        <w:t xml:space="preserve"> </w:t>
      </w:r>
      <w:r>
        <w:t xml:space="preserve">“</w:t>
      </w:r>
      <w:r>
        <w:t xml:space="preserve">is neither compelled to accept a DoD-required psychologist’s</w:t>
      </w:r>
      <w:r>
        <w:t xml:space="preserve"> </w:t>
      </w:r>
      <w:r>
        <w:t xml:space="preserve">diagnosis of an applicant nor bound by any expert’s testimony or report,</w:t>
      </w:r>
      <w:r>
        <w:t xml:space="preserve">”</w:t>
      </w:r>
      <w:r>
        <w:t xml:space="preserve"> </w:t>
      </w:r>
      <w:r>
        <w:t xml:space="preserve">and may give more weight to a treating</w:t>
      </w:r>
      <w:r>
        <w:t xml:space="preserve"> </w:t>
      </w:r>
      <w:r>
        <w:t xml:space="preserve">psychologist who saw the applicant often and recently than to the uncorroborated opinions of earlier providers and</w:t>
      </w:r>
      <w:r>
        <w:t xml:space="preserve"> </w:t>
      </w:r>
      <w:r>
        <w:t xml:space="preserve">of the government’s evaluator. ISCR Case No. 19-00151, 2019 WL 8268343, at</w:t>
      </w:r>
      <w:r>
        <w:t xml:space="preserve"> </w:t>
      </w:r>
      <w:r>
        <w:rPr>
          <w:iCs/>
          <w:i/>
        </w:rPr>
        <w:t xml:space="preserve">7 (App. Bd. Dec. 10, 2019) (grant</w:t>
      </w:r>
      <w:r>
        <w:rPr>
          <w:iCs/>
          <w:i/>
        </w:rPr>
        <w:t xml:space="preserve"> </w:t>
      </w:r>
      <w:r>
        <w:rPr>
          <w:iCs/>
          <w:i/>
        </w:rPr>
        <w:t xml:space="preserve">affirmed). A judge who fails to discuss the applicant’s mitigating evidence errs, and the decision will be remanded.</w:t>
      </w:r>
      <w:r>
        <w:rPr>
          <w:iCs/>
          <w:i/>
        </w:rPr>
        <w:t xml:space="preserve"> </w:t>
      </w:r>
      <w:r>
        <w:rPr>
          <w:iCs/>
          <w:i/>
        </w:rPr>
        <w:t xml:space="preserve">ISCR Case No. 20-02097, 2024 WL 4351699, at</w:t>
      </w:r>
      <w:r>
        <w:rPr>
          <w:iCs/>
          <w:i/>
        </w:rPr>
        <w:t xml:space="preserve"> </w:t>
      </w:r>
      <w:r>
        <w:t xml:space="preserve">3-4 (App. Bd. Feb. 13, 2024). The same decision shows the cost of</w:t>
      </w:r>
      <w:r>
        <w:t xml:space="preserve"> </w:t>
      </w:r>
      <w:r>
        <w:t xml:space="preserve">silence: the applicant there presented no expert testimony or evaluation to rebut the government psychologist’s</w:t>
      </w:r>
      <w:r>
        <w:t xml:space="preserve"> </w:t>
      </w:r>
      <w:r>
        <w:t xml:space="preserve">diagnosis, and the Board found the disqualifying condition established.</w:t>
      </w:r>
    </w:p>
    <w:p>
      <w:pPr>
        <w:pStyle w:val="BodyText"/>
      </w:pPr>
      <w:r>
        <w:rPr>
          <w:bCs/>
          <w:b/>
        </w:rPr>
        <w:t xml:space="preserve">Service members.</w:t>
      </w:r>
      <w:r>
        <w:t xml:space="preserve"> </w:t>
      </w:r>
      <w:r>
        <w:t xml:space="preserve">A referral for a mental health evaluation as reprisal for a protected communication is</w:t>
      </w:r>
      <w:r>
        <w:t xml:space="preserve"> </w:t>
      </w:r>
      <w:r>
        <w:t xml:space="preserve">forbidden (DoD Instruction 6490.04 ¶3.e) and is itself a reprisal under DoD’s whistleblower directive (</w:t>
      </w:r>
      <w:hyperlink r:id="rId21">
        <w:r>
          <w:rPr>
            <w:rStyle w:val="Hyperlink"/>
          </w:rPr>
          <w:t xml:space="preserve">Issue C1</w:t>
        </w:r>
      </w:hyperlink>
      <w:r>
        <w:t xml:space="preserve"> </w:t>
      </w:r>
      <w:r>
        <w:t xml:space="preserve">§4.2).</w:t>
      </w:r>
    </w:p>
    <w:bookmarkEnd w:id="31"/>
    <w:bookmarkStart w:id="32" w:name="personal-conduct-and-candor-guideline-e"/>
    <w:p>
      <w:pPr>
        <w:pStyle w:val="Heading3"/>
      </w:pPr>
      <w:r>
        <w:t xml:space="preserve">4.2 Personal conduct and candor (Guideline E)</w:t>
      </w:r>
    </w:p>
    <w:p>
      <w:pPr>
        <w:pStyle w:val="FirstParagraph"/>
      </w:pPr>
      <w:r>
        <w:t xml:space="preserve">Guideline E is concerned with</w:t>
      </w:r>
      <w:r>
        <w:t xml:space="preserve"> </w:t>
      </w:r>
      <w:r>
        <w:t xml:space="preserve">“</w:t>
      </w:r>
      <w:r>
        <w:t xml:space="preserve">lack of candor</w:t>
      </w:r>
      <w:r>
        <w:t xml:space="preserve">”</w:t>
      </w:r>
      <w:r>
        <w:t xml:space="preserve"> </w:t>
      </w:r>
      <w:r>
        <w:t xml:space="preserve">and dishonesty, and a refusal</w:t>
      </w:r>
      <w:r>
        <w:t xml:space="preserve"> </w:t>
      </w:r>
      <w:r>
        <w:t xml:space="preserve">“</w:t>
      </w:r>
      <w:r>
        <w:t xml:space="preserve">to provide full, frank, and truthful</w:t>
      </w:r>
      <w:r>
        <w:t xml:space="preserve"> </w:t>
      </w:r>
      <w:r>
        <w:t xml:space="preserve">answers to lawful questions of investigators</w:t>
      </w:r>
      <w:r>
        <w:t xml:space="preserve">”</w:t>
      </w:r>
      <w:r>
        <w:t xml:space="preserve"> </w:t>
      </w:r>
      <w:r>
        <w:t xml:space="preserve">will</w:t>
      </w:r>
      <w:r>
        <w:t xml:space="preserve"> </w:t>
      </w:r>
      <w:r>
        <w:t xml:space="preserve">“</w:t>
      </w:r>
      <w:r>
        <w:t xml:space="preserve">normally result in an unfavorable</w:t>
      </w:r>
      <w:r>
        <w:t xml:space="preserve">”</w:t>
      </w:r>
      <w:r>
        <w:t xml:space="preserve"> </w:t>
      </w:r>
      <w:r>
        <w:t xml:space="preserve">determination. SEAD 4, App.</w:t>
      </w:r>
      <w:r>
        <w:t xml:space="preserve"> </w:t>
      </w:r>
      <w:r>
        <w:t xml:space="preserve">A ¶15(b). In UAP cases the candor problem usually arises from minimization: a client who denies or understates an</w:t>
      </w:r>
      <w:r>
        <w:t xml:space="preserve"> </w:t>
      </w:r>
      <w:r>
        <w:t xml:space="preserve">experience, a foreign contact at a UAP conference, or an outside activity, and is later contradicted by a social</w:t>
      </w:r>
      <w:r>
        <w:t xml:space="preserve"> </w:t>
      </w:r>
      <w:r>
        <w:t xml:space="preserve">media post or a podcast appearance. Prepare the client to answer completely and calmly, and correct any earlier</w:t>
      </w:r>
      <w:r>
        <w:t xml:space="preserve"> </w:t>
      </w:r>
      <w:r>
        <w:t xml:space="preserve">omission in writing before the interview.</w:t>
      </w:r>
    </w:p>
    <w:p>
      <w:pPr>
        <w:pStyle w:val="BodyText"/>
      </w:pPr>
      <w:r>
        <w:t xml:space="preserve">When the Statement of Reasons alleges a deliberate falsification and the applicant denies it, the government bears</w:t>
      </w:r>
      <w:r>
        <w:t xml:space="preserve"> </w:t>
      </w:r>
      <w:r>
        <w:t xml:space="preserve">the burden of proof, and</w:t>
      </w:r>
      <w:r>
        <w:t xml:space="preserve"> </w:t>
      </w:r>
      <w:r>
        <w:t xml:space="preserve">“</w:t>
      </w:r>
      <w:r>
        <w:t xml:space="preserve">[p]roof of an omission, standing alone, does not establish or prove</w:t>
      </w:r>
      <w:r>
        <w:t xml:space="preserve">”</w:t>
      </w:r>
      <w:r>
        <w:t xml:space="preserve"> </w:t>
      </w:r>
      <w:r>
        <w:t xml:space="preserve">the applicant’s</w:t>
      </w:r>
      <w:r>
        <w:t xml:space="preserve"> </w:t>
      </w:r>
      <w:r>
        <w:t xml:space="preserve">intent; the judge must look at the record as a whole for direct or circumstantial evidence of the applicant’s state</w:t>
      </w:r>
      <w:r>
        <w:t xml:space="preserve"> </w:t>
      </w:r>
      <w:r>
        <w:t xml:space="preserve">of mind. ISCR Case No. 22-00381, 2024 WL 3913933, at</w:t>
      </w:r>
      <w:r>
        <w:t xml:space="preserve"> </w:t>
      </w:r>
      <w:r>
        <w:rPr>
          <w:iCs/>
          <w:i/>
        </w:rPr>
        <w:t xml:space="preserve">5 (App. Bd. Mar. 12, 2024) (citing ISCR Case No. 02-23133,</w:t>
      </w:r>
      <w:r>
        <w:rPr>
          <w:iCs/>
          <w:i/>
        </w:rPr>
        <w:t xml:space="preserve"> </w:t>
      </w:r>
      <w:r>
        <w:rPr>
          <w:iCs/>
          <w:i/>
        </w:rPr>
        <w:t xml:space="preserve">2004 WL 2152744, at</w:t>
      </w:r>
      <w:r>
        <w:rPr>
          <w:iCs/>
          <w:i/>
        </w:rPr>
        <w:t xml:space="preserve"> </w:t>
      </w:r>
      <w:r>
        <w:t xml:space="preserve">4 (App. Bd. June 9, 2004)). An honest misreading of Section 21’s narrow questions is a defense;</w:t>
      </w:r>
      <w:r>
        <w:t xml:space="preserve"> </w:t>
      </w:r>
      <w:r>
        <w:t xml:space="preserve">an answer that was knowingly false is not.</w:t>
      </w:r>
    </w:p>
    <w:bookmarkEnd w:id="32"/>
    <w:bookmarkStart w:id="34" w:name="Xe8fc29bb4af21546ce250c147bf868f5b906e32"/>
    <w:p>
      <w:pPr>
        <w:pStyle w:val="Heading3"/>
      </w:pPr>
      <w:r>
        <w:t xml:space="preserve">4.3 Handling protected information (Guideline K)</w:t>
      </w:r>
    </w:p>
    <w:p>
      <w:pPr>
        <w:pStyle w:val="FirstParagraph"/>
      </w:pPr>
      <w:r>
        <w:t xml:space="preserve">The disqualifying conditions include</w:t>
      </w:r>
      <w:r>
        <w:t xml:space="preserve"> </w:t>
      </w:r>
      <w:r>
        <w:t xml:space="preserve">“</w:t>
      </w:r>
      <w:r>
        <w:t xml:space="preserve">deliberate or negligent disclosure of protected information to unauthorized</w:t>
      </w:r>
      <w:r>
        <w:t xml:space="preserve"> </w:t>
      </w:r>
      <w:r>
        <w:t xml:space="preserve">persons, including … the media</w:t>
      </w:r>
      <w:r>
        <w:t xml:space="preserve">”</w:t>
      </w:r>
      <w:r>
        <w:t xml:space="preserve"> </w:t>
      </w:r>
      <w:r>
        <w:t xml:space="preserve">(¶34(a)) and storing protected information in an unauthorized place (¶34(b)). A</w:t>
      </w:r>
      <w:r>
        <w:t xml:space="preserve"> </w:t>
      </w:r>
      <w:r>
        <w:t xml:space="preserve">disclosure through the AARO mechanism, an inspector general, or the committees is to authorized recipients and</w:t>
      </w:r>
      <w:r>
        <w:t xml:space="preserve"> </w:t>
      </w:r>
      <w:r>
        <w:t xml:space="preserve">should not be charged under Guideline K; a disclosure on a podcast or to an author is. When a Guideline K allegation</w:t>
      </w:r>
      <w:r>
        <w:t xml:space="preserve"> </w:t>
      </w:r>
      <w:r>
        <w:t xml:space="preserve">rests on a public statement, the defense is usually that the information was already officially acknowledged or was</w:t>
      </w:r>
      <w:r>
        <w:t xml:space="preserve"> </w:t>
      </w:r>
      <w:r>
        <w:t xml:space="preserve">not classified, and the record of official acknowledgments (</w:t>
      </w:r>
      <w:hyperlink r:id="rId33">
        <w:r>
          <w:rPr>
            <w:rStyle w:val="Hyperlink"/>
          </w:rPr>
          <w:t xml:space="preserve">Issue B1</w:t>
        </w:r>
      </w:hyperlink>
      <w:r>
        <w:t xml:space="preserve">) becomes evidence in the clearance case.</w:t>
      </w:r>
    </w:p>
    <w:bookmarkEnd w:id="34"/>
    <w:bookmarkStart w:id="35" w:name="outside-activities-guideline-l"/>
    <w:p>
      <w:pPr>
        <w:pStyle w:val="Heading3"/>
      </w:pPr>
      <w:r>
        <w:t xml:space="preserve">4.4 Outside activities (Guideline L)</w:t>
      </w:r>
    </w:p>
    <w:p>
      <w:pPr>
        <w:pStyle w:val="FirstParagraph"/>
      </w:pPr>
      <w:r>
        <w:t xml:space="preserve">Guideline L is concerned with outside activities that pose</w:t>
      </w:r>
      <w:r>
        <w:t xml:space="preserve"> </w:t>
      </w:r>
      <w:r>
        <w:t xml:space="preserve">“</w:t>
      </w:r>
      <w:r>
        <w:t xml:space="preserve">a conflict of interest with an individual’s security</w:t>
      </w:r>
      <w:r>
        <w:t xml:space="preserve"> </w:t>
      </w:r>
      <w:r>
        <w:t xml:space="preserve">responsibilities and could create an increased risk of unauthorized disclosure</w:t>
      </w:r>
      <w:r>
        <w:t xml:space="preserve">”</w:t>
      </w:r>
      <w:r>
        <w:t xml:space="preserve"> </w:t>
      </w:r>
      <w:r>
        <w:t xml:space="preserve">(¶36). The disqualifying</w:t>
      </w:r>
      <w:r>
        <w:t xml:space="preserve"> </w:t>
      </w:r>
      <w:r>
        <w:t xml:space="preserve">conditions include</w:t>
      </w:r>
      <w:r>
        <w:t xml:space="preserve"> </w:t>
      </w:r>
      <w:r>
        <w:t xml:space="preserve">“</w:t>
      </w:r>
      <w:r>
        <w:t xml:space="preserve">any employment or service, whether compensated or volunteer, with … any foreign, domestic, or</w:t>
      </w:r>
      <w:r>
        <w:t xml:space="preserve"> </w:t>
      </w:r>
      <w:r>
        <w:t xml:space="preserve">international organization or person engaged in analysis, discussion, or publication of material on intelligence,</w:t>
      </w:r>
      <w:r>
        <w:t xml:space="preserve"> </w:t>
      </w:r>
      <w:r>
        <w:t xml:space="preserve">defense, foreign affairs, or protected technology</w:t>
      </w:r>
      <w:r>
        <w:t xml:space="preserve">”</w:t>
      </w:r>
      <w:r>
        <w:t xml:space="preserve"> </w:t>
      </w:r>
      <w:r>
        <w:t xml:space="preserve">(¶37(a)(4)), and</w:t>
      </w:r>
      <w:r>
        <w:t xml:space="preserve"> </w:t>
      </w:r>
      <w:r>
        <w:t xml:space="preserve">“</w:t>
      </w:r>
      <w:r>
        <w:t xml:space="preserve">failure to report or fully disclose an outside</w:t>
      </w:r>
      <w:r>
        <w:t xml:space="preserve"> </w:t>
      </w:r>
      <w:r>
        <w:t xml:space="preserve">activity when this is required</w:t>
      </w:r>
      <w:r>
        <w:t xml:space="preserve">”</w:t>
      </w:r>
      <w:r>
        <w:t xml:space="preserve"> </w:t>
      </w:r>
      <w:r>
        <w:t xml:space="preserve">(¶37(b)). A cleared engineer who volunteers as an analyst for a UAP research</w:t>
      </w:r>
      <w:r>
        <w:t xml:space="preserve"> </w:t>
      </w:r>
      <w:r>
        <w:t xml:space="preserve">organization, cohosts a podcast that discusses defense programs, or advises a documentary is within ¶37(a)(4).</w:t>
      </w:r>
      <w:r>
        <w:t xml:space="preserve"> </w:t>
      </w:r>
      <w:r>
        <w:t xml:space="preserve">The activity is not forbidden, but it must be reported where the agency requires reporting, and it should be</w:t>
      </w:r>
      <w:r>
        <w:t xml:space="preserve"> </w:t>
      </w:r>
      <w:r>
        <w:t xml:space="preserve">structured to avoid any overlap with the client’s program.</w:t>
      </w:r>
    </w:p>
    <w:bookmarkEnd w:id="35"/>
    <w:bookmarkStart w:id="37" w:name="foreign-influence-guideline-b"/>
    <w:p>
      <w:pPr>
        <w:pStyle w:val="Heading3"/>
      </w:pPr>
      <w:r>
        <w:t xml:space="preserve">4.5 Foreign influence (Guideline B)</w:t>
      </w:r>
    </w:p>
    <w:p>
      <w:pPr>
        <w:pStyle w:val="FirstParagraph"/>
      </w:pPr>
      <w:r>
        <w:t xml:space="preserve">International UAP conferences and online communities bring cleared people into contact with foreign nationals,</w:t>
      </w:r>
      <w:r>
        <w:t xml:space="preserve"> </w:t>
      </w:r>
      <w:r>
        <w:t xml:space="preserve">some of whom represent foreign government programs (</w:t>
      </w:r>
      <w:hyperlink r:id="rId36">
        <w:r>
          <w:rPr>
            <w:rStyle w:val="Hyperlink"/>
          </w:rPr>
          <w:t xml:space="preserve">Issue F6</w:t>
        </w:r>
      </w:hyperlink>
      <w:r>
        <w:t xml:space="preserve">). Report foreign contacts as the agency requires,</w:t>
      </w:r>
      <w:r>
        <w:t xml:space="preserve"> </w:t>
      </w:r>
      <w:r>
        <w:t xml:space="preserve">and advise clients that a foreign researcher’s interest in their work is itself reportable in many programs.</w:t>
      </w:r>
    </w:p>
    <w:bookmarkEnd w:id="37"/>
    <w:bookmarkStart w:id="38" w:name="the-working-premise"/>
    <w:p>
      <w:pPr>
        <w:pStyle w:val="Heading3"/>
      </w:pPr>
      <w:r>
        <w:t xml:space="preserve">4.6 The working premise</w:t>
      </w:r>
    </w:p>
    <w:p>
      <w:pPr>
        <w:pStyle w:val="FirstParagraph"/>
      </w:pPr>
      <w:r>
        <w:t xml:space="preserve">The site assumes that AARO is part of the concealment. For a cleared client that has two consequences. First, a</w:t>
      </w:r>
      <w:r>
        <w:t xml:space="preserve"> </w:t>
      </w:r>
      <w:r>
        <w:t xml:space="preserve">disclosure to AARO may reach the program the client is reporting on, and a clearance action may follow; prepare</w:t>
      </w:r>
      <w:r>
        <w:t xml:space="preserve"> </w:t>
      </w:r>
      <w:r>
        <w:t xml:space="preserve">the reprisal record from the first day (</w:t>
      </w:r>
      <w:hyperlink r:id="rId21">
        <w:r>
          <w:rPr>
            <w:rStyle w:val="Hyperlink"/>
          </w:rPr>
          <w:t xml:space="preserve">Issue C1</w:t>
        </w:r>
      </w:hyperlink>
      <w:r>
        <w:t xml:space="preserve"> </w:t>
      </w:r>
      <w:r>
        <w:t xml:space="preserve">§2). Second, AARO’s public denials should not be treated by the</w:t>
      </w:r>
      <w:r>
        <w:t xml:space="preserve"> </w:t>
      </w:r>
      <w:r>
        <w:t xml:space="preserve">client as a reason to doubt their own account in an interview; the adjudicator judges the client’s stability and</w:t>
      </w:r>
      <w:r>
        <w:t xml:space="preserve"> </w:t>
      </w:r>
      <w:r>
        <w:t xml:space="preserve">candor, and AARO’s view of the underlying event is not part of that test.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1" w:name="preparing-the-case"/>
    <w:p>
      <w:pPr>
        <w:pStyle w:val="Heading2"/>
      </w:pPr>
      <w:r>
        <w:t xml:space="preserve">5. Preparing the case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Get the file.</w:t>
      </w:r>
      <w:r>
        <w:t xml:space="preserve"> </w:t>
      </w:r>
      <w:r>
        <w:t xml:space="preserve">Request the investigative file under the Privacy Act and FOIA from the Defense</w:t>
      </w:r>
      <w:r>
        <w:t xml:space="preserve"> </w:t>
      </w:r>
      <w:r>
        <w:t xml:space="preserve">Counterintelligence and Security Agency or the investigating agency, and the documents underlying the decision</w:t>
      </w:r>
      <w:r>
        <w:t xml:space="preserve"> </w:t>
      </w:r>
      <w:r>
        <w:t xml:space="preserve">under EO 12968 §5.2(a)(2)-(3) (</w:t>
      </w:r>
      <w:hyperlink r:id="rId23">
        <w:r>
          <w:rPr>
            <w:rStyle w:val="Hyperlink"/>
          </w:rPr>
          <w:t xml:space="preserve">Issue C4</w:t>
        </w:r>
      </w:hyperlink>
      <w:r>
        <w:t xml:space="preserve"> </w:t>
      </w:r>
      <w:r>
        <w:t xml:space="preserve">§3.2).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Answer every allegation.</w:t>
      </w:r>
      <w:r>
        <w:t xml:space="preserve"> </w:t>
      </w:r>
      <w:r>
        <w:t xml:space="preserve">In a DOHA case, admit or deny each SOR allegation specifically, with explanation,</w:t>
      </w:r>
      <w:r>
        <w:t xml:space="preserve"> </w:t>
      </w:r>
      <w:r>
        <w:t xml:space="preserve">and request a hearing in the answer.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Build the whole-person record.</w:t>
      </w:r>
      <w:r>
        <w:t xml:space="preserve"> </w:t>
      </w:r>
      <w:r>
        <w:t xml:space="preserve">Performance evaluations, awards, supervisors’ letters, and character</w:t>
      </w:r>
      <w:r>
        <w:t xml:space="preserve"> </w:t>
      </w:r>
      <w:r>
        <w:t xml:space="preserve">witnesses who know the client’s work.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Address Guideline I with evidence.</w:t>
      </w:r>
      <w:r>
        <w:t xml:space="preserve"> </w:t>
      </w:r>
      <w:r>
        <w:t xml:space="preserve">If the SOR raises a psychological condition, obtain an evaluation by a</w:t>
      </w:r>
      <w:r>
        <w:t xml:space="preserve"> </w:t>
      </w:r>
      <w:r>
        <w:t xml:space="preserve">government-acceptable professional before the hearing.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Correct omissions first.</w:t>
      </w:r>
      <w:r>
        <w:t xml:space="preserve"> </w:t>
      </w:r>
      <w:r>
        <w:t xml:space="preserve">Any earlier inaccuracy on an SF-86 or in an interview should be corrected in</w:t>
      </w:r>
      <w:r>
        <w:t xml:space="preserve"> </w:t>
      </w:r>
      <w:r>
        <w:t xml:space="preserve">writing, with an explanation, before the government raises it.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Raise reprisal.</w:t>
      </w:r>
      <w:r>
        <w:t xml:space="preserve"> </w:t>
      </w:r>
      <w:r>
        <w:t xml:space="preserve">If the action followed a protected disclosure, say so in the answer and preserve the claim</w:t>
      </w:r>
      <w:r>
        <w:t xml:space="preserve"> </w:t>
      </w:r>
      <w:r>
        <w:t xml:space="preserve">for §3341(j) or the applicable reprisal forum (</w:t>
      </w:r>
      <w:hyperlink r:id="rId40">
        <w:r>
          <w:rPr>
            <w:rStyle w:val="Hyperlink"/>
          </w:rPr>
          <w:t xml:space="preserve">Form C1-2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Keep classified facts out of the papers.</w:t>
      </w:r>
      <w:r>
        <w:t xml:space="preserve"> </w:t>
      </w:r>
      <w:r>
        <w:t xml:space="preserve">The answer and briefs must be unclassified; offer classified</w:t>
      </w:r>
      <w:r>
        <w:t xml:space="preserve"> </w:t>
      </w:r>
      <w:r>
        <w:t xml:space="preserve">details through the security office.</w:t>
      </w:r>
    </w:p>
    <w:p>
      <w:r>
        <w:pict>
          <v:rect style="width:0;height:1.5pt" o:hralign="center" o:hrstd="t" o:hr="t"/>
        </w:pict>
      </w:r>
    </w:p>
    <w:bookmarkEnd w:id="41"/>
    <w:bookmarkStart w:id="42" w:name="deadlines"/>
    <w:p>
      <w:pPr>
        <w:pStyle w:val="Heading2"/>
      </w:pPr>
      <w:r>
        <w:t xml:space="preserve">6. Deadlines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Answer to DOHA Statement of Reasons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 from receipt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DoDD 5220.6 ¶E3.1.4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Response to file in a written-record case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receipt of the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¶E3.1.7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Notice of hearing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15 days before the hearing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¶E3.1.8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Notice of appeal to the DOHA Appeal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 after the decision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¶E3.1.28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Appeal brief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 after the decision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¶E3.1.30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Documents on which a federal denial is based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30 days of a request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EO 12968 §5.2(a)(2)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 clearance reprisal appeal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 after notice; DNI appeal 60 days after the final agency decision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U.S.C. §3341(j)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2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Security Clearance Practice for UAP Witnesses, Experiencers, and Researchers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40" Type="http://schemas.openxmlformats.org/officeDocument/2006/relationships/hyperlink" Target="https://nhilaw.com/forms/c1-2.html" TargetMode="External"/><Relationship Id="rId33" Type="http://schemas.openxmlformats.org/officeDocument/2006/relationships/hyperlink" Target="https://nhilaw.com/issues/b1.html" TargetMode="External"/><Relationship Id="rId21" Type="http://schemas.openxmlformats.org/officeDocument/2006/relationships/hyperlink" Target="https://nhilaw.com/issues/c1.html" TargetMode="External"/><Relationship Id="rId23" Type="http://schemas.openxmlformats.org/officeDocument/2006/relationships/hyperlink" Target="https://nhilaw.com/issues/c4.html" TargetMode="External"/><Relationship Id="rId36" Type="http://schemas.openxmlformats.org/officeDocument/2006/relationships/hyperlink" Target="https://nhilaw.com/issues/f6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40" Type="http://schemas.openxmlformats.org/officeDocument/2006/relationships/hyperlink" Target="https://nhilaw.com/forms/c1-2.html" TargetMode="External"/><Relationship Id="rId33" Type="http://schemas.openxmlformats.org/officeDocument/2006/relationships/hyperlink" Target="https://nhilaw.com/issues/b1.html" TargetMode="External"/><Relationship Id="rId21" Type="http://schemas.openxmlformats.org/officeDocument/2006/relationships/hyperlink" Target="https://nhilaw.com/issues/c1.html" TargetMode="External"/><Relationship Id="rId23" Type="http://schemas.openxmlformats.org/officeDocument/2006/relationships/hyperlink" Target="https://nhilaw.com/issues/c4.html" TargetMode="External"/><Relationship Id="rId36" Type="http://schemas.openxmlformats.org/officeDocument/2006/relationships/hyperlink" Target="https://nhilaw.com/issues/f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Clearance Practice for UAP Witnesses, Experiencers, and Researchers</dc:title>
  <dc:creator>nhilaw.com</dc:creator>
  <cp:keywords/>
  <dcterms:created xsi:type="dcterms:W3CDTF">2026-10-19T03:13:09Z</dcterms:created>
  <dcterms:modified xsi:type="dcterms:W3CDTF">2026-10-19T03:13:09Z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nhilaw.com/issues/c5.html</vt:lpwstr>
  </property>
</Properties>
</file>