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997359ac3c4968e98eb77ee6336b9d7e1318fdb"/>
    <w:p>
      <w:pPr>
        <w:pStyle w:val="Heading1"/>
      </w:pPr>
      <w:r>
        <w:t xml:space="preserve">Form D1-1. Oversight Request Letter for UAP-Related Special Access Program Reports and Notifications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https://nhilaw.com/forms/d1-1.html</w:t>
      </w:r>
    </w:p>
    <w:p>
      <w:pPr>
        <w:pStyle w:val="BodyText"/>
        <w:spacing w:after="160" w:line="259" w:lineRule="auto"/>
      </w:pPr>
      <w:r>
        <w:rPr>
          <w:bCs/>
          <w:b/>
        </w:rPr>
        <w:t xml:space="preserve">When to use.</w:t>
      </w:r>
      <w:r>
        <w:t xml:space="preserve"> </w:t>
      </w:r>
      <w:r>
        <w:t xml:space="preserve">Members and committee staff seeking SAP reports, waivers, notifications, and funding records relating to UAP.</w:t>
      </w:r>
      <w:r>
        <w:t xml:space="preserve"> </w:t>
      </w:r>
      <w:r>
        <w:rPr>
          <w:bCs/>
          <w:b/>
        </w:rPr>
        <w:t xml:space="preserve">Not for:</w:t>
      </w:r>
      <w:r>
        <w:t xml:space="preserve"> </w:t>
      </w:r>
      <w:r>
        <w:t xml:space="preserve">Requests by private persons, who should use FOIA (</w:t>
      </w:r>
      <w:hyperlink r:id="rId20">
        <w:r>
          <w:rPr>
            <w:rStyle w:val="Hyperlink"/>
          </w:rPr>
          <w:t xml:space="preserve">Form A2-1</w:t>
        </w:r>
      </w:hyperlink>
      <w:r>
        <w:t xml:space="preserve">).</w:t>
      </w:r>
    </w:p>
    <w:p>
      <w:pPr>
        <w:pStyle w:val="BodyText"/>
        <w:spacing w:after="160" w:line="259" w:lineRule="auto"/>
      </w:pPr>
      <w:r>
        <w:rPr>
          <w:bCs/>
          <w:b/>
        </w:rPr>
        <w:t xml:space="preserve">Deadlines.</w:t>
      </w:r>
      <w:r>
        <w:t xml:space="preserve"> </w:t>
      </w:r>
      <w:r>
        <w:t xml:space="preserve">Set a response date in the letter; 30 days is common.</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[Committee letterhead]</w:t>
      </w:r>
    </w:p>
    <w:p>
      <w:pPr>
        <w:pStyle w:val="BodyText"/>
      </w:pPr>
      <w:r>
        <w:t xml:space="preserve">[Date]</w:t>
      </w:r>
    </w:p>
    <w:p>
      <w:pPr>
        <w:pStyle w:val="BodyText"/>
      </w:pPr>
      <w:r>
        <w:t xml:space="preserve">The Honorable [Secretary of War]</w:t>
      </w:r>
      <w:r>
        <w:br/>
      </w:r>
      <w:r>
        <w:t xml:space="preserve">[and/or The Honorable Director of National Intelligence]</w:t>
      </w:r>
      <w:r>
        <w:br/>
      </w:r>
      <w:r>
        <w:t xml:space="preserve">[Address]</w:t>
      </w:r>
    </w:p>
    <w:p>
      <w:pPr>
        <w:pStyle w:val="BodyText"/>
      </w:pPr>
      <w:r>
        <w:t xml:space="preserve">Dear Secretary [Name]:</w:t>
      </w:r>
    </w:p>
    <w:p>
      <w:pPr>
        <w:pStyle w:val="BodyText"/>
      </w:pPr>
      <w:r>
        <w:t xml:space="preserve">Pursuant to the Committee’s oversight responsibilities [and 10 U.S.C. §119 / 50 U.S.C. §§3091-3094 / 50</w:t>
      </w:r>
      <w:r>
        <w:t xml:space="preserve"> </w:t>
      </w:r>
      <w:r>
        <w:t xml:space="preserve">U.S.C. §§3373, 3373b], the Committee requests the following, in classified form where necessary, by</w:t>
      </w:r>
      <w:r>
        <w:t xml:space="preserve"> </w:t>
      </w:r>
      <w:r>
        <w:t xml:space="preserve">[date]:</w:t>
      </w:r>
    </w:p>
    <w:p>
      <w:pPr>
        <w:pStyle w:val="Compact"/>
        <w:numPr>
          <w:ilvl w:val="0"/>
          <w:numId w:val="1001"/>
        </w:numPr>
      </w:pPr>
      <w:r>
        <w:t xml:space="preserve">Every report submitted under 10 U.S.C. §119(a) and (b) since [fiscal year 2000] that concerns any</w:t>
      </w:r>
      <w:r>
        <w:t xml:space="preserve"> </w:t>
      </w:r>
      <w:r>
        <w:t xml:space="preserve">special access program relating in any way to unidentified anomalous phenomena, technologies of unknown</w:t>
      </w:r>
      <w:r>
        <w:t xml:space="preserve"> </w:t>
      </w:r>
      <w:r>
        <w:t xml:space="preserve">origin, or associated material, including programs whose subject is described by cover terms.</w:t>
      </w:r>
    </w:p>
    <w:p>
      <w:pPr>
        <w:pStyle w:val="Compact"/>
        <w:numPr>
          <w:ilvl w:val="0"/>
          <w:numId w:val="1001"/>
        </w:numPr>
      </w:pPr>
      <w:r>
        <w:t xml:space="preserve">Every waiver under 10 U.S.C. §119(e) affecting such programs, with the justification provided to the</w:t>
      </w:r>
      <w:r>
        <w:t xml:space="preserve"> </w:t>
      </w:r>
      <w:r>
        <w:t xml:space="preserve">chair and ranking minority member of any defense committee, and the dates provided.</w:t>
      </w:r>
    </w:p>
    <w:p>
      <w:pPr>
        <w:pStyle w:val="Compact"/>
        <w:numPr>
          <w:ilvl w:val="0"/>
          <w:numId w:val="1001"/>
        </w:numPr>
      </w:pPr>
      <w:r>
        <w:t xml:space="preserve">For each such program, the date of the notification required by 10 U.S.C. §119(f) and the date the</w:t>
      </w:r>
      <w:r>
        <w:t xml:space="preserve"> </w:t>
      </w:r>
      <w:r>
        <w:t xml:space="preserve">program was initiated.</w:t>
      </w:r>
    </w:p>
    <w:p>
      <w:pPr>
        <w:pStyle w:val="Compact"/>
        <w:numPr>
          <w:ilvl w:val="0"/>
          <w:numId w:val="1001"/>
        </w:numPr>
      </w:pPr>
      <w:r>
        <w:t xml:space="preserve">Every report under 10 U.S.C. §119(c) concerning any planned declassification or public announcement</w:t>
      </w:r>
      <w:r>
        <w:t xml:space="preserve"> </w:t>
      </w:r>
      <w:r>
        <w:t xml:space="preserve">relating to such programs, including in connection with the PURSUE program.</w:t>
      </w:r>
    </w:p>
    <w:p>
      <w:pPr>
        <w:pStyle w:val="Compact"/>
        <w:numPr>
          <w:ilvl w:val="0"/>
          <w:numId w:val="1001"/>
        </w:numPr>
      </w:pPr>
      <w:r>
        <w:t xml:space="preserve">Every notification under 50 U.S.C. §3373b(a)(4)(B) of an authorized disclosure relating to a restricted</w:t>
      </w:r>
      <w:r>
        <w:t xml:space="preserve"> </w:t>
      </w:r>
      <w:r>
        <w:t xml:space="preserve">access, special access, or compartmented access program not explicitly and clearly reported to the</w:t>
      </w:r>
      <w:r>
        <w:t xml:space="preserve"> </w:t>
      </w:r>
      <w:r>
        <w:t xml:space="preserve">congressional defense or intelligence committees.</w:t>
      </w:r>
    </w:p>
    <w:p>
      <w:pPr>
        <w:pStyle w:val="Compact"/>
        <w:numPr>
          <w:ilvl w:val="0"/>
          <w:numId w:val="1001"/>
        </w:numPr>
      </w:pPr>
      <w:r>
        <w:t xml:space="preserve">The accounting of security classification guides required by section 1673 of Pub. L. No. 119-60.</w:t>
      </w:r>
    </w:p>
    <w:p>
      <w:pPr>
        <w:pStyle w:val="Compact"/>
        <w:numPr>
          <w:ilvl w:val="0"/>
          <w:numId w:val="1001"/>
        </w:numPr>
      </w:pPr>
      <w:r>
        <w:t xml:space="preserve">Any report of an Antideficiency Act violation, or any determination that no report was required, relating</w:t>
      </w:r>
      <w:r>
        <w:t xml:space="preserve"> </w:t>
      </w:r>
      <w:r>
        <w:t xml:space="preserve">to funds used for such programs, including under section 1687(a) of Pub. L. No. 118-31.</w:t>
      </w:r>
    </w:p>
    <w:p>
      <w:pPr>
        <w:pStyle w:val="Compact"/>
        <w:numPr>
          <w:ilvl w:val="0"/>
          <w:numId w:val="1001"/>
        </w:numPr>
      </w:pPr>
      <w:r>
        <w:t xml:space="preserve">Any determination concerning the allowability of contractor independent research and development costs</w:t>
      </w:r>
      <w:r>
        <w:t xml:space="preserve"> </w:t>
      </w:r>
      <w:r>
        <w:t xml:space="preserve">relating to unidentified anomalous phenomena under section 1687(b) of Pub. L. No. 118-31.</w:t>
      </w:r>
    </w:p>
    <w:p>
      <w:pPr>
        <w:pStyle w:val="Compact"/>
        <w:numPr>
          <w:ilvl w:val="0"/>
          <w:numId w:val="1001"/>
        </w:numPr>
      </w:pPr>
      <w:r>
        <w:t xml:space="preserve">A list of all contractors, by contract number, that have held or now hold material or information</w:t>
      </w:r>
      <w:r>
        <w:t xml:space="preserve"> </w:t>
      </w:r>
      <w:r>
        <w:t xml:space="preserve">relating to unidentified anomalous phenomena under any program, and the authority under which they</w:t>
      </w:r>
      <w:r>
        <w:t xml:space="preserve"> </w:t>
      </w:r>
      <w:r>
        <w:t xml:space="preserve">hold it.</w:t>
      </w:r>
    </w:p>
    <w:p>
      <w:pPr>
        <w:pStyle w:val="Compact"/>
        <w:numPr>
          <w:ilvl w:val="0"/>
          <w:numId w:val="1001"/>
        </w:numPr>
      </w:pPr>
      <w:r>
        <w:t xml:space="preserve">[For the intelligence committees:] For each intelligence or intelligence-related activity relating to</w:t>
      </w:r>
      <w:r>
        <w:t xml:space="preserve"> </w:t>
      </w:r>
      <w:r>
        <w:t xml:space="preserve">unidentified anomalous phenomena, the provision of an intelligence authorization act that specifically</w:t>
      </w:r>
      <w:r>
        <w:t xml:space="preserve"> </w:t>
      </w:r>
      <w:r>
        <w:t xml:space="preserve">authorized its funds as 50 U.S.C. §3094(a) requires, or, if none, the source of the funds and any</w:t>
      </w:r>
      <w:r>
        <w:t xml:space="preserve"> </w:t>
      </w:r>
      <w:r>
        <w:t xml:space="preserve">determination that §3094 did not apply.</w:t>
      </w:r>
    </w:p>
    <w:p>
      <w:pPr>
        <w:pStyle w:val="Compact"/>
        <w:numPr>
          <w:ilvl w:val="0"/>
          <w:numId w:val="1001"/>
        </w:numPr>
      </w:pPr>
      <w:r>
        <w:t xml:space="preserve">Every report or notification to the intelligence committees under 50 U.S.C. §§3091-3092 concerning such</w:t>
      </w:r>
      <w:r>
        <w:t xml:space="preserve"> </w:t>
      </w:r>
      <w:r>
        <w:t xml:space="preserve">activities, with dates.</w:t>
      </w:r>
    </w:p>
    <w:p>
      <w:pPr>
        <w:pStyle w:val="FirstParagraph"/>
      </w:pPr>
      <w:r>
        <w:t xml:space="preserve">The Committee also requests a briefing, in a secure setting, by officials with knowledge of these</w:t>
      </w:r>
      <w:r>
        <w:t xml:space="preserve"> </w:t>
      </w:r>
      <w:r>
        <w:t xml:space="preserve">matters, and requests that all records responsive to this letter be preserved, including records subject</w:t>
      </w:r>
      <w:r>
        <w:t xml:space="preserve"> </w:t>
      </w:r>
      <w:r>
        <w:t xml:space="preserve">to the UAP Records Collection provisions (Pub. L. No. 118-31, §§1841-1843).</w:t>
      </w:r>
    </w:p>
    <w:p>
      <w:pPr>
        <w:pStyle w:val="BodyText"/>
      </w:pPr>
      <w:r>
        <w:t xml:space="preserve">Sincerely,</w:t>
      </w:r>
      <w:r>
        <w:br/>
      </w:r>
      <w:r>
        <w:t xml:space="preserve">[Chair / Ranking Member]</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2"/>
        </w:numPr>
      </w:pPr>
      <w:r>
        <w:rPr>
          <w:bCs/>
          <w:b/>
        </w:rPr>
        <w:t xml:space="preserve">Public release by the committee.</w:t>
      </w:r>
      <w:r>
        <w:t xml:space="preserve"> </w:t>
      </w:r>
      <w:r>
        <w:t xml:space="preserve">If the response confirms information the Member believes the public should</w:t>
      </w:r>
      <w:r>
        <w:t xml:space="preserve"> </w:t>
      </w:r>
      <w:r>
        <w:t xml:space="preserve">have, the intelligence committees can release it themselves. A Member of the Senate Intelligence Committee may ask</w:t>
      </w:r>
      <w:r>
        <w:t xml:space="preserve"> </w:t>
      </w:r>
      <w:r>
        <w:t xml:space="preserve">for a committee vote under S. Res. 400 (94th Cong.) §8; a Member of the House Permanent Select Committee on</w:t>
      </w:r>
      <w:r>
        <w:t xml:space="preserve"> </w:t>
      </w:r>
      <w:r>
        <w:t xml:space="preserve">Intelligence may do the same under House Rule X, clause 11(g). If the executive branch asked that the information</w:t>
      </w:r>
      <w:r>
        <w:t xml:space="preserve"> </w:t>
      </w:r>
      <w:r>
        <w:t xml:space="preserve">be kept secret, the committee must notify the President, who may object personally and in writing within five</w:t>
      </w:r>
      <w:r>
        <w:t xml:space="preserve"> </w:t>
      </w:r>
      <w:r>
        <w:t xml:space="preserve">days, and the question then goes to the full chamber in closed session (</w:t>
      </w:r>
      <w:hyperlink r:id="rId21">
        <w:r>
          <w:rPr>
            <w:rStyle w:val="Hyperlink"/>
          </w:rPr>
          <w:t xml:space="preserve">Issue D1</w:t>
        </w:r>
      </w:hyperlink>
      <w:r>
        <w:t xml:space="preserve"> </w:t>
      </w:r>
      <w:r>
        <w:t xml:space="preserve">§4). A sample request:</w:t>
      </w:r>
      <w:r>
        <w:t xml:space="preserve"> </w:t>
      </w:r>
      <w:r>
        <w:t xml:space="preserve">“</w:t>
      </w:r>
      <w:r>
        <w:t xml:space="preserve">Pursuant to section 8 of S. Res. 400 [clause 11(g) of Rule X], I request that the Committee vote on whether the</w:t>
      </w:r>
      <w:r>
        <w:t xml:space="preserve"> </w:t>
      </w:r>
      <w:r>
        <w:t xml:space="preserve">public interest would be served by disclosing [describe the information by unclassified reference].</w:t>
      </w:r>
      <w:r>
        <w:t xml:space="preserve">”</w:t>
      </w:r>
    </w:p>
    <w:p>
      <w:pPr>
        <w:pStyle w:val="Compact"/>
        <w:numPr>
          <w:ilvl w:val="0"/>
          <w:numId w:val="1002"/>
        </w:numPr>
      </w:pPr>
      <w:r>
        <w:rPr>
          <w:bCs/>
          <w:b/>
        </w:rPr>
        <w:t xml:space="preserve">Section 3094.</w:t>
      </w:r>
      <w:r>
        <w:t xml:space="preserve"> </w:t>
      </w:r>
      <w:r>
        <w:t xml:space="preserve">Item 10 asks the executive branch to identify the authorization. A program funded without one</w:t>
      </w:r>
      <w:r>
        <w:t xml:space="preserve"> </w:t>
      </w:r>
      <w:r>
        <w:t xml:space="preserve">is an Antideficiency Act question as well (31 U.S.C. §1351 reports;</w:t>
      </w:r>
      <w:r>
        <w:t xml:space="preserve"> </w:t>
      </w:r>
      <w:hyperlink r:id="rId21">
        <w:r>
          <w:rPr>
            <w:rStyle w:val="Hyperlink"/>
          </w:rPr>
          <w:t xml:space="preserve">Issue D1</w:t>
        </w:r>
      </w:hyperlink>
      <w:r>
        <w:t xml:space="preserve"> </w:t>
      </w:r>
      <w:r>
        <w:t xml:space="preserve">§4.2).</w:t>
      </w:r>
    </w:p>
    <w:p>
      <w:pPr>
        <w:pStyle w:val="Compact"/>
        <w:numPr>
          <w:ilvl w:val="0"/>
          <w:numId w:val="1002"/>
        </w:numPr>
      </w:pPr>
      <w:r>
        <w:rPr>
          <w:bCs/>
          <w:b/>
        </w:rPr>
        <w:t xml:space="preserve">Preservation.</w:t>
      </w:r>
      <w:r>
        <w:t xml:space="preserve"> </w:t>
      </w:r>
      <w:r>
        <w:t xml:space="preserve">The preservation request also triggers 18 U.S.C. §1519 exposure for anyone who destroys</w:t>
      </w:r>
      <w:r>
        <w:t xml:space="preserve"> </w:t>
      </w:r>
      <w:r>
        <w:t xml:space="preserve">responsive records afterward.</w:t>
      </w:r>
    </w:p>
    <w:p>
      <w:pPr>
        <w:pStyle w:val="Compact"/>
        <w:numPr>
          <w:ilvl w:val="0"/>
          <w:numId w:val="1002"/>
        </w:numPr>
      </w:pPr>
      <w:r>
        <w:t xml:space="preserve">Related:</w:t>
      </w:r>
      <w:r>
        <w:t xml:space="preserve"> </w:t>
      </w:r>
      <w:hyperlink r:id="rId21">
        <w:r>
          <w:rPr>
            <w:rStyle w:val="Hyperlink"/>
          </w:rPr>
          <w:t xml:space="preserve">Issue D1</w:t>
        </w:r>
      </w:hyperlink>
      <w:r>
        <w:t xml:space="preserve">, D2, D3; Forms D3-1, F5-1.</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a2-1.html" TargetMode="External"/><Relationship Id="rId21" Type="http://schemas.openxmlformats.org/officeDocument/2006/relationships/hyperlink" Target="https://nhilaw.com/issues/d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a2-1.html" TargetMode="External"/><Relationship Id="rId21" Type="http://schemas.openxmlformats.org/officeDocument/2006/relationships/hyperlink" Target="https://nhilaw.com/issues/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D1-1. Oversight Request Letter for UAP-Related Special Access Program Reports and Notifications</dc:title>
  <dc:creator>nhilaw.com</dc:creator>
  <cp:keywords/>
  <dcterms:created xsi:type="dcterms:W3CDTF">2026-10-19T03:13:18Z</dcterms:created>
  <dcterms:modified xsi:type="dcterms:W3CDTF">2026-10-19T03:13:18Z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