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Congressional Oversight of Unacknowledged UAP Programs: Reporting Duties, Funding Limits, and Enforcement</w:t>
      </w:r>
    </w:p>
    <w:p>
      <w:pPr>
        <w:pStyle w:val="Subtitle"/>
      </w:pPr>
      <w:r>
        <w:t xml:space="preserve">Version 1.10 · October 2026 · nhilaw.com/issues/d1.html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1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No DoD special access program may begin until the defense committees are notified and 30 days pass (10 U.S.C. §119(f)); waiver narrows the audience to chairs and ranking members but does not eliminate notice.</w:t>
      </w:r>
    </w:p>
    <w:p>
      <w:pPr>
        <w:pStyle w:val="Compact"/>
        <w:numPr>
          <w:ilvl w:val="0"/>
          <w:numId w:val="1001"/>
        </w:numPr>
      </w:pPr>
      <w:r>
        <w:t xml:space="preserve">Intelligence-funded activity requires specific congressional authorization (50 U.S.C. §3094), and for FY2024 UAP programs not reported to Congress could not be funded (§1687(a); IAA §7343(b)).</w:t>
      </w:r>
    </w:p>
    <w:p>
      <w:pPr>
        <w:pStyle w:val="Compact"/>
        <w:numPr>
          <w:ilvl w:val="0"/>
          <w:numId w:val="1001"/>
        </w:numPr>
      </w:pPr>
      <w:r>
        <w:t xml:space="preserve">The alleged program sits between the defense and intelligence reporting regimes; direct requests to both sets of committees.</w:t>
      </w:r>
    </w:p>
    <w:p>
      <w:pPr>
        <w:pStyle w:val="Compact"/>
        <w:numPr>
          <w:ilvl w:val="0"/>
          <w:numId w:val="1001"/>
        </w:numPr>
      </w:pPr>
      <w:r>
        <w:t xml:space="preserve">Congress can make classified information public itself, by committee vote under S. Res. 400 §8 or House Rule X cl. 11(g), subject to a presidential objection that the full chamber can override.</w:t>
      </w:r>
    </w:p>
    <w:p>
      <w:pPr>
        <w:pStyle w:val="Compact"/>
        <w:numPr>
          <w:ilvl w:val="0"/>
          <w:numId w:val="1001"/>
        </w:numPr>
      </w:pPr>
      <w:r>
        <w:t xml:space="preserve">Appropriations riders enforceable by individual members (</w:t>
      </w:r>
      <w:r>
        <w:rPr>
          <w:iCs/>
          <w:i/>
        </w:rPr>
        <w:t xml:space="preserve">Neguse v. ICE</w:t>
      </w:r>
      <w:r>
        <w:t xml:space="preserve">) give members a judicial remedy that §119 does not.</w:t>
      </w:r>
    </w:p>
    <w:p>
      <w:r>
        <w:pict>
          <v:rect style="width:0;height:1.5pt" o:hralign="center" o:hrstd="t" o:hr="t"/>
        </w:pict>
      </w:r>
    </w:p>
    <w:bookmarkEnd w:id="21"/>
    <w:bookmarkStart w:id="24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The central allegation in UAP oversight is that programs to retrieve and study non-human craft have</w:t>
      </w:r>
      <w:r>
        <w:t xml:space="preserve"> </w:t>
      </w:r>
      <w:r>
        <w:t xml:space="preserve">operated without the notice to Congress that the law requires. The statutory framework makes that</w:t>
      </w:r>
      <w:r>
        <w:t xml:space="preserve"> </w:t>
      </w:r>
      <w:r>
        <w:t xml:space="preserve">allegation concrete: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No special access program may begin until the defense committees are notified and 30 days pass.</w:t>
      </w:r>
      <w:r>
        <w:t xml:space="preserve"> </w:t>
      </w:r>
      <w:r>
        <w:t xml:space="preserve">10</w:t>
      </w:r>
      <w:r>
        <w:t xml:space="preserve"> </w:t>
      </w:r>
      <w:r>
        <w:t xml:space="preserve">U.S.C. §119(f). Even when the Secretary waives reporting details for national security, the information</w:t>
      </w:r>
      <w:r>
        <w:t xml:space="preserve"> </w:t>
      </w:r>
      <w:r>
        <w:t xml:space="preserve">and the justification must go to the chair and ranking minority member of each defense committee.</w:t>
      </w:r>
      <w:r>
        <w:t xml:space="preserve"> </w:t>
      </w:r>
      <w:r>
        <w:t xml:space="preserve">§119(e). There is no statutory category of DoD SAP that may be hidden from Congress entirely.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Intelligence activities must be reported</w:t>
      </w:r>
      <w:r>
        <w:t xml:space="preserve"> </w:t>
      </w:r>
      <w:r>
        <w:t xml:space="preserve">so that the intelligence committees are</w:t>
      </w:r>
      <w:r>
        <w:t xml:space="preserve"> </w:t>
      </w:r>
      <w:r>
        <w:t xml:space="preserve">“</w:t>
      </w:r>
      <w:r>
        <w:t xml:space="preserve">fully and currently</w:t>
      </w:r>
      <w:r>
        <w:t xml:space="preserve"> </w:t>
      </w:r>
      <w:r>
        <w:t xml:space="preserve">informed.</w:t>
      </w:r>
      <w:r>
        <w:t xml:space="preserve">”</w:t>
      </w:r>
      <w:r>
        <w:t xml:space="preserve"> </w:t>
      </w:r>
      <w:r>
        <w:t xml:space="preserve">50 U.S.C. §3091. Covert action requires a finding and notification; the</w:t>
      </w:r>
      <w:r>
        <w:t xml:space="preserve"> </w:t>
      </w:r>
      <w:r>
        <w:t xml:space="preserve">“</w:t>
      </w:r>
      <w:r>
        <w:t xml:space="preserve">Gang of Eight</w:t>
      </w:r>
      <w:r>
        <w:t xml:space="preserve">”</w:t>
      </w:r>
      <w:r>
        <w:t xml:space="preserve"> </w:t>
      </w:r>
      <w:r>
        <w:t xml:space="preserve">limitation applies only to covert action findings; DoD SAPs are reported under §119. 50 U.S.C. §3093.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AARO must report</w:t>
      </w:r>
      <w:r>
        <w:t xml:space="preserve"> </w:t>
      </w:r>
      <w:r>
        <w:t xml:space="preserve">restricted access programs</w:t>
      </w:r>
      <w:r>
        <w:t xml:space="preserve"> </w:t>
      </w:r>
      <w:r>
        <w:t xml:space="preserve">“</w:t>
      </w:r>
      <w:r>
        <w:t xml:space="preserve">not explicitly and clearly reported to Congress</w:t>
      </w:r>
      <w:r>
        <w:t xml:space="preserve">”</w:t>
      </w:r>
      <w:r>
        <w:t xml:space="preserve"> </w:t>
      </w:r>
      <w:r>
        <w:t xml:space="preserve">in its</w:t>
      </w:r>
      <w:r>
        <w:t xml:space="preserve"> </w:t>
      </w:r>
      <w:r>
        <w:t xml:space="preserve">historical record report (50 U.S.C. §3373(j)) and must notify the committees within 72 hours when an</w:t>
      </w:r>
      <w:r>
        <w:t xml:space="preserve"> </w:t>
      </w:r>
      <w:r>
        <w:t xml:space="preserve">authorized disclosure concerns such a program (§3373b(a)(4)(B)).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Funding limits.</w:t>
      </w:r>
      <w:r>
        <w:t xml:space="preserve"> </w:t>
      </w:r>
      <w:r>
        <w:t xml:space="preserve">FY2024 NDAA §1687(a) barred FY2024 funds for UAP activities under special or restricted</w:t>
      </w:r>
      <w:r>
        <w:t xml:space="preserve"> </w:t>
      </w:r>
      <w:r>
        <w:t xml:space="preserve">access unless reported; §1687(b) (codified as a note to §3373) bars treating UAP-related contractor IRAD as</w:t>
      </w:r>
      <w:r>
        <w:t xml:space="preserve"> </w:t>
      </w:r>
      <w:r>
        <w:t xml:space="preserve">an allowable indirect cost unless the material is made available to Congress (</w:t>
      </w:r>
      <w:hyperlink r:id="rId22">
        <w:r>
          <w:rPr>
            <w:rStyle w:val="Hyperlink"/>
          </w:rPr>
          <w:t xml:space="preserve">Issue A3</w:t>
        </w:r>
      </w:hyperlink>
      <w:r>
        <w:t xml:space="preserve">). The FY2024</w:t>
      </w:r>
      <w:r>
        <w:t xml:space="preserve"> </w:t>
      </w:r>
      <w:r>
        <w:t xml:space="preserve">Intelligence Authorization Act (div. G of the same law) imposed a parallel bar on intelligence funds: none of</w:t>
      </w:r>
      <w:r>
        <w:t xml:space="preserve"> </w:t>
      </w:r>
      <w:r>
        <w:t xml:space="preserve">those funds could support a special-access or restricted-access UAP activity unless the DNI had given its details</w:t>
      </w:r>
      <w:r>
        <w:t xml:space="preserve"> </w:t>
      </w:r>
      <w:r>
        <w:t xml:space="preserve">to the intelligence, armed services, and appropriations committees and congressional leadership (§7343(b), 137</w:t>
      </w:r>
      <w:r>
        <w:t xml:space="preserve"> </w:t>
      </w:r>
      <w:r>
        <w:t xml:space="preserve">Stat. 1064).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Declassification notice.</w:t>
      </w:r>
      <w:r>
        <w:t xml:space="preserve"> </w:t>
      </w:r>
      <w:r>
        <w:t xml:space="preserve">Before declassifying SAP information or making a public announcement about</w:t>
      </w:r>
      <w:r>
        <w:t xml:space="preserve"> </w:t>
      </w:r>
      <w:r>
        <w:t xml:space="preserve">it, the Secretary must notify the defense committees at least 14 days in advance, absent exceptional</w:t>
      </w:r>
      <w:r>
        <w:t xml:space="preserve"> </w:t>
      </w:r>
      <w:r>
        <w:t xml:space="preserve">circumstances. §119(c). A disclosure event involving DoD SAPs triggers this provision.</w:t>
      </w:r>
    </w:p>
    <w:p>
      <w:pPr>
        <w:pStyle w:val="FirstParagraph"/>
      </w:pPr>
      <w:r>
        <w:t xml:space="preserve">If insider accounts are accurate, UAP programs operated in violation of §119(f) or §3091, and funds were</w:t>
      </w:r>
      <w:r>
        <w:t xml:space="preserve"> </w:t>
      </w:r>
      <w:r>
        <w:t xml:space="preserve">spent for unreported programs. The remedies are mostly political (oversight, appropriations, hearings),</w:t>
      </w:r>
      <w:r>
        <w:t xml:space="preserve"> </w:t>
      </w:r>
      <w:r>
        <w:t xml:space="preserve">with criminal exposure for false statements and conspiracy to defraud (</w:t>
      </w:r>
      <w:hyperlink r:id="rId23">
        <w:r>
          <w:rPr>
            <w:rStyle w:val="Hyperlink"/>
          </w:rPr>
          <w:t xml:space="preserve">Issue D3</w:t>
        </w:r>
      </w:hyperlink>
      <w:r>
        <w:t xml:space="preserve">) and administrative</w:t>
      </w:r>
      <w:r>
        <w:t xml:space="preserve"> </w:t>
      </w:r>
      <w:r>
        <w:t xml:space="preserve">exposure under the Antideficiency Act for spending in violation of a funding prohibition.</w:t>
      </w:r>
    </w:p>
    <w:p>
      <w:r>
        <w:pict>
          <v:rect style="width:0;height:1.5pt" o:hralign="center" o:hrstd="t" o:hr="t"/>
        </w:pict>
      </w:r>
    </w:p>
    <w:bookmarkEnd w:id="24"/>
    <w:bookmarkStart w:id="29" w:name="reporting-statutes"/>
    <w:p>
      <w:pPr>
        <w:pStyle w:val="Heading2"/>
      </w:pPr>
      <w:r>
        <w:t xml:space="preserve">2. Reporting statutes</w:t>
      </w:r>
    </w:p>
    <w:bookmarkStart w:id="26" w:name="u.s.c.-119-dod-special-access-programs"/>
    <w:p>
      <w:pPr>
        <w:pStyle w:val="Heading3"/>
      </w:pPr>
      <w:r>
        <w:t xml:space="preserve">2.1 10 U.S.C. §119 (DoD special access programs)</w:t>
      </w:r>
    </w:p>
    <w:p>
      <w:pPr>
        <w:pStyle w:val="Compact"/>
        <w:numPr>
          <w:ilvl w:val="0"/>
          <w:numId w:val="1003"/>
        </w:numPr>
      </w:pPr>
      <w:r>
        <w:t xml:space="preserve">(a) Annual report by March 1 to the defense committees on each SAP, with budget and program details.</w:t>
      </w:r>
    </w:p>
    <w:p>
      <w:pPr>
        <w:pStyle w:val="Compact"/>
        <w:numPr>
          <w:ilvl w:val="0"/>
          <w:numId w:val="1003"/>
        </w:numPr>
      </w:pPr>
      <w:r>
        <w:t xml:space="preserve">(b) Annual notice by February 1 of each new SAP, with justification, total cost estimate, and similar</w:t>
      </w:r>
      <w:r>
        <w:t xml:space="preserve"> </w:t>
      </w:r>
      <w:r>
        <w:t xml:space="preserve">existing programs.</w:t>
      </w:r>
    </w:p>
    <w:p>
      <w:pPr>
        <w:pStyle w:val="Compact"/>
        <w:numPr>
          <w:ilvl w:val="0"/>
          <w:numId w:val="1003"/>
        </w:numPr>
      </w:pPr>
      <w:r>
        <w:t xml:space="preserve">(c) Report at least 14 days before any planned change in classification, declassification, or public</w:t>
      </w:r>
      <w:r>
        <w:t xml:space="preserve"> </w:t>
      </w:r>
      <w:r>
        <w:t xml:space="preserve">announcement concerning a SAP; exceptional circumstances allow later reporting, but before the change.</w:t>
      </w:r>
    </w:p>
    <w:p>
      <w:pPr>
        <w:pStyle w:val="Compact"/>
        <w:numPr>
          <w:ilvl w:val="0"/>
          <w:numId w:val="1003"/>
        </w:numPr>
      </w:pPr>
      <w:r>
        <w:t xml:space="preserve">(d) Prompt notice of changes to SAP designation policy.</w:t>
      </w:r>
    </w:p>
    <w:p>
      <w:pPr>
        <w:pStyle w:val="Compact"/>
        <w:numPr>
          <w:ilvl w:val="0"/>
          <w:numId w:val="1003"/>
        </w:numPr>
      </w:pPr>
      <w:r>
        <w:t xml:space="preserve">(e) Case-by-case waiver of report content if inclusion</w:t>
      </w:r>
      <w:r>
        <w:t xml:space="preserve"> </w:t>
      </w:r>
      <w:r>
        <w:t xml:space="preserve">“</w:t>
      </w:r>
      <w:r>
        <w:t xml:space="preserve">would adversely affect the national security,</w:t>
      </w:r>
      <w:r>
        <w:t xml:space="preserve">”</w:t>
      </w:r>
      <w:r>
        <w:t xml:space="preserve"> </w:t>
      </w:r>
      <w:r>
        <w:t xml:space="preserve">with the information and justification provided jointly to the chair and ranking minority member of</w:t>
      </w:r>
      <w:r>
        <w:t xml:space="preserve"> </w:t>
      </w:r>
      <w:r>
        <w:t xml:space="preserve">each defense committee. This is the source of</w:t>
      </w:r>
      <w:r>
        <w:t xml:space="preserve"> </w:t>
      </w:r>
      <w:r>
        <w:t xml:space="preserve">“</w:t>
      </w:r>
      <w:r>
        <w:t xml:space="preserve">waived</w:t>
      </w:r>
      <w:r>
        <w:t xml:space="preserve">”</w:t>
      </w:r>
      <w:r>
        <w:t xml:space="preserve"> </w:t>
      </w:r>
      <w:r>
        <w:t xml:space="preserve">programs. Waiver narrows the audience; it does not</w:t>
      </w:r>
      <w:r>
        <w:t xml:space="preserve"> </w:t>
      </w:r>
      <w:r>
        <w:t xml:space="preserve">eliminate notice.</w:t>
      </w:r>
    </w:p>
    <w:p>
      <w:pPr>
        <w:pStyle w:val="Compact"/>
        <w:numPr>
          <w:ilvl w:val="0"/>
          <w:numId w:val="1003"/>
        </w:numPr>
      </w:pPr>
      <w:r>
        <w:t xml:space="preserve">(f)</w:t>
      </w:r>
      <w:r>
        <w:t xml:space="preserve"> </w:t>
      </w:r>
      <w:r>
        <w:t xml:space="preserve">“</w:t>
      </w:r>
      <w:r>
        <w:t xml:space="preserve">A special access program may not be initiated until (1) the defense committees are notified of the</w:t>
      </w:r>
      <w:r>
        <w:t xml:space="preserve"> </w:t>
      </w:r>
      <w:r>
        <w:t xml:space="preserve">program; and (2) a period of 30 days elapses after such notification is received.</w:t>
      </w:r>
      <w:r>
        <w:t xml:space="preserve">”</w:t>
      </w:r>
    </w:p>
    <w:p>
      <w:pPr>
        <w:pStyle w:val="Compact"/>
        <w:numPr>
          <w:ilvl w:val="0"/>
          <w:numId w:val="1003"/>
        </w:numPr>
      </w:pPr>
      <w:r>
        <w:t xml:space="preserve">(g)</w:t>
      </w:r>
      <w:r>
        <w:t xml:space="preserve"> </w:t>
      </w:r>
      <w:r>
        <w:t xml:space="preserve">“</w:t>
      </w:r>
      <w:r>
        <w:t xml:space="preserve">Defense committees</w:t>
      </w:r>
      <w:r>
        <w:t xml:space="preserve">”</w:t>
      </w:r>
      <w:r>
        <w:t xml:space="preserve"> </w:t>
      </w:r>
      <w:r>
        <w:t xml:space="preserve">are the Armed Services and Appropriations committees (and defense</w:t>
      </w:r>
      <w:r>
        <w:t xml:space="preserve"> </w:t>
      </w:r>
      <w:r>
        <w:t xml:space="preserve">subcommittees) of each House. The intelligence committees are not included; intelligence-funded</w:t>
      </w:r>
      <w:r>
        <w:t xml:space="preserve"> </w:t>
      </w:r>
      <w:r>
        <w:t xml:space="preserve">programs are reported under Title 50.</w:t>
      </w:r>
    </w:p>
    <w:p>
      <w:pPr>
        <w:pStyle w:val="FirstParagraph"/>
      </w:pPr>
      <w:r>
        <w:t xml:space="preserve">Department of Defense policy now appears in DoD Directive 5205.07,</w:t>
      </w:r>
      <w:r>
        <w:t xml:space="preserve"> </w:t>
      </w:r>
      <w:r>
        <w:rPr>
          <w:iCs/>
          <w:i/>
        </w:rPr>
        <w:t xml:space="preserve">Special Access Program Policy</w:t>
      </w:r>
      <w:r>
        <w:t xml:space="preserve"> </w:t>
      </w:r>
      <w:r>
        <w:t xml:space="preserve">(Sept.</w:t>
      </w:r>
      <w:r>
        <w:t xml:space="preserve"> </w:t>
      </w:r>
      <w:r>
        <w:t xml:space="preserve">12, 2024), which reissued the 2010 directive and sets up the oversight bodies (SAPOC, Senior Review Group,</w:t>
      </w:r>
      <w:r>
        <w:t xml:space="preserve"> </w:t>
      </w:r>
      <w:r>
        <w:t xml:space="preserve">SAP Senior Working Group, and DoD SAPCO), and in DoD Instruction 5205.11,</w:t>
      </w:r>
      <w:r>
        <w:t xml:space="preserve"> </w:t>
      </w:r>
      <w:r>
        <w:rPr>
          <w:iCs/>
          <w:i/>
        </w:rPr>
        <w:t xml:space="preserve">Management, Administration, and</w:t>
      </w:r>
      <w:r>
        <w:rPr>
          <w:iCs/>
          <w:i/>
        </w:rPr>
        <w:t xml:space="preserve"> </w:t>
      </w:r>
      <w:r>
        <w:rPr>
          <w:iCs/>
          <w:i/>
        </w:rPr>
        <w:t xml:space="preserve">Oversight of DoD Special Access Programs</w:t>
      </w:r>
      <w:r>
        <w:t xml:space="preserve"> </w:t>
      </w:r>
      <w:r>
        <w:t xml:space="preserve">(Sept. 12, 2024), which carries the categories. Under DoDI</w:t>
      </w:r>
      <w:r>
        <w:t xml:space="preserve"> </w:t>
      </w:r>
      <w:r>
        <w:t xml:space="preserve">5205.11 ¶1.2.f,</w:t>
      </w:r>
      <w:r>
        <w:t xml:space="preserve"> </w:t>
      </w:r>
      <w:r>
        <w:t xml:space="preserve">“</w:t>
      </w:r>
      <w:r>
        <w:t xml:space="preserve">[t]he Secretary of Defense may designate select unacknowledged SAPs as</w:t>
      </w:r>
      <w:r>
        <w:t xml:space="preserve"> </w:t>
      </w:r>
      <w:r>
        <w:t xml:space="preserve">‘</w:t>
      </w:r>
      <w:r>
        <w:t xml:space="preserve">waived</w:t>
      </w:r>
      <w:r>
        <w:t xml:space="preserve">’</w:t>
      </w:r>
      <w:r>
        <w:t xml:space="preserve"> </w:t>
      </w:r>
      <w:r>
        <w:t xml:space="preserve">when it is</w:t>
      </w:r>
      <w:r>
        <w:t xml:space="preserve"> </w:t>
      </w:r>
      <w:r>
        <w:t xml:space="preserve">determined that using standard procedures for reporting to Congress would adversely affect national</w:t>
      </w:r>
      <w:r>
        <w:t xml:space="preserve"> </w:t>
      </w:r>
      <w:r>
        <w:t xml:space="preserve">security, pursuant to Section 119 of Title 10,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[w]aived SAPs remain subject to congressional</w:t>
      </w:r>
      <w:r>
        <w:t xml:space="preserve"> </w:t>
      </w:r>
      <w:r>
        <w:t xml:space="preserve">oversight.</w:t>
      </w:r>
      <w:r>
        <w:t xml:space="preserve">”</w:t>
      </w:r>
      <w:r>
        <w:t xml:space="preserve"> </w:t>
      </w:r>
      <w:r>
        <w:t xml:space="preserve">Program proposals must state whether the SAP is</w:t>
      </w:r>
      <w:r>
        <w:t xml:space="preserve"> </w:t>
      </w:r>
      <w:r>
        <w:t xml:space="preserve">“</w:t>
      </w:r>
      <w:r>
        <w:t xml:space="preserve">acknowledged or unacknowledged.</w:t>
      </w:r>
      <w:r>
        <w:t xml:space="preserve">”</w:t>
      </w:r>
      <w:r>
        <w:t xml:space="preserve"> </w:t>
      </w:r>
      <w:r>
        <w:t xml:space="preserve">Access to</w:t>
      </w:r>
      <w:r>
        <w:t xml:space="preserve"> </w:t>
      </w:r>
      <w:r>
        <w:t xml:space="preserve">waived SAPs on the defense and intelligence committees is limited to</w:t>
      </w:r>
      <w:r>
        <w:t xml:space="preserve"> </w:t>
      </w:r>
      <w:r>
        <w:t xml:space="preserve">“</w:t>
      </w:r>
      <w:r>
        <w:t xml:space="preserve">the chair, the ranking member, the</w:t>
      </w:r>
      <w:r>
        <w:t xml:space="preserve"> </w:t>
      </w:r>
      <w:r>
        <w:t xml:space="preserve">staff directors, and one designated security manager,</w:t>
      </w:r>
      <w:r>
        <w:t xml:space="preserve">”</w:t>
      </w:r>
      <w:r>
        <w:t xml:space="preserve"> </w:t>
      </w:r>
      <w:r>
        <w:t xml:space="preserve">and access for any other member or staffer needs</w:t>
      </w:r>
      <w:r>
        <w:t xml:space="preserve"> </w:t>
      </w:r>
      <w:r>
        <w:t xml:space="preserve">the approval of the Secretary or Deputy Secretary of Defense (¶7.2.a(3)). Members of those committees</w:t>
      </w:r>
      <w:r>
        <w:t xml:space="preserve"> </w:t>
      </w:r>
      <w:r>
        <w:t xml:space="preserve">otherwise have access to all SAPs within their committee’s jurisdiction (¶7.2.b). These access rules</w:t>
      </w:r>
      <w:r>
        <w:t xml:space="preserve"> </w:t>
      </w:r>
      <w:r>
        <w:t xml:space="preserve">explain why most members of Congress, including members of the oversight committees, could truthfully say</w:t>
      </w:r>
      <w:r>
        <w:t xml:space="preserve"> </w:t>
      </w:r>
      <w:r>
        <w:t xml:space="preserve">they had not been briefed on a waived program.</w:t>
      </w:r>
    </w:p>
    <w:p>
      <w:pPr>
        <w:pStyle w:val="BodyText"/>
      </w:pPr>
      <w:r>
        <w:t xml:space="preserve">The SAP Security Manual adds a rule for congressional visits. When a visit to a SAP facility is proposed, the</w:t>
      </w:r>
      <w:r>
        <w:t xml:space="preserve"> </w:t>
      </w:r>
      <w:r>
        <w:t xml:space="preserve">cognizant SAP Central Office gives guidance; if a congressional delegation arrives unannounced, employees</w:t>
      </w:r>
      <w:r>
        <w:t xml:space="preserve"> </w:t>
      </w:r>
      <w:r>
        <w:t xml:space="preserve">“</w:t>
      </w:r>
      <w:r>
        <w:t xml:space="preserve">will</w:t>
      </w:r>
      <w:r>
        <w:t xml:space="preserve"> </w:t>
      </w:r>
      <w:r>
        <w:t xml:space="preserve">contact the PSO [program security officer] for guidance</w:t>
      </w:r>
      <w:r>
        <w:t xml:space="preserve">”</w:t>
      </w:r>
      <w:r>
        <w:t xml:space="preserve">; and</w:t>
      </w:r>
      <w:r>
        <w:t xml:space="preserve"> </w:t>
      </w:r>
      <w:r>
        <w:t xml:space="preserve">“</w:t>
      </w:r>
      <w:r>
        <w:t xml:space="preserve">[a]ll communications and information flow</w:t>
      </w:r>
      <w:r>
        <w:t xml:space="preserve"> </w:t>
      </w:r>
      <w:r>
        <w:t xml:space="preserve">between the authorized congressional members or their staff will be coordinated through the DoD SAPCO and CA</w:t>
      </w:r>
      <w:r>
        <w:t xml:space="preserve"> </w:t>
      </w:r>
      <w:r>
        <w:t xml:space="preserve">SAPCO.</w:t>
      </w:r>
      <w:r>
        <w:t xml:space="preserve">”</w:t>
      </w:r>
      <w:r>
        <w:t xml:space="preserve"> </w:t>
      </w:r>
      <w:r>
        <w:t xml:space="preserve">DoDM 5205.07, vol. 1, encl. 10 ¶9 (June 18, 2015, incorporating Change 2, Sept. 30, 2020). The DoD SAPCO is also</w:t>
      </w:r>
      <w:r>
        <w:t xml:space="preserve"> </w:t>
      </w:r>
      <w:r>
        <w:t xml:space="preserve">“</w:t>
      </w:r>
      <w:r>
        <w:t xml:space="preserve">the DoD single point of Congressional liaison</w:t>
      </w:r>
      <w:r>
        <w:t xml:space="preserve"> </w:t>
      </w:r>
      <w:r>
        <w:t xml:space="preserve">concerning SAPs</w:t>
      </w:r>
      <w:r>
        <w:t xml:space="preserve">”</w:t>
      </w:r>
      <w:r>
        <w:t xml:space="preserve"> </w:t>
      </w:r>
      <w:r>
        <w:t xml:space="preserve">(</w:t>
      </w:r>
      <w:r>
        <w:rPr>
          <w:iCs/>
          <w:i/>
        </w:rPr>
        <w:t xml:space="preserve">id.</w:t>
      </w:r>
      <w:r>
        <w:t xml:space="preserve"> </w:t>
      </w:r>
      <w:r>
        <w:t xml:space="preserve">encl. 2 ¶3.b). A member who visits a contractor facility to ask about a UAP program</w:t>
      </w:r>
      <w:r>
        <w:t xml:space="preserve"> </w:t>
      </w:r>
      <w:r>
        <w:t xml:space="preserve">should expect to be routed through the SAPCO, and an employee who speaks directly with the member outside that</w:t>
      </w:r>
      <w:r>
        <w:t xml:space="preserve"> </w:t>
      </w:r>
      <w:r>
        <w:t xml:space="preserve">channel should first confirm that the communication is protected (50 U.S.C. §3373b;</w:t>
      </w:r>
      <w:r>
        <w:t xml:space="preserve"> </w:t>
      </w:r>
      <w:hyperlink r:id="rId25">
        <w:r>
          <w:rPr>
            <w:rStyle w:val="Hyperlink"/>
          </w:rPr>
          <w:t xml:space="preserve">Issue C1</w:t>
        </w:r>
      </w:hyperlink>
      <w:r>
        <w:t xml:space="preserve">).</w:t>
      </w:r>
    </w:p>
    <w:bookmarkEnd w:id="26"/>
    <w:bookmarkStart w:id="27" w:name="title-50"/>
    <w:p>
      <w:pPr>
        <w:pStyle w:val="Heading3"/>
      </w:pPr>
      <w:r>
        <w:t xml:space="preserve">2.2 Title 50</w:t>
      </w:r>
    </w:p>
    <w:p>
      <w:pPr>
        <w:pStyle w:val="Compact"/>
        <w:numPr>
          <w:ilvl w:val="0"/>
          <w:numId w:val="1004"/>
        </w:numPr>
      </w:pPr>
      <w:r>
        <w:t xml:space="preserve">§3091 (general duty to keep the intelligence committees fully and currently informed of intelligence</w:t>
      </w:r>
      <w:r>
        <w:t xml:space="preserve"> </w:t>
      </w:r>
      <w:r>
        <w:t xml:space="preserve">activities, including significant anticipated activities and significant failures).</w:t>
      </w:r>
    </w:p>
    <w:p>
      <w:pPr>
        <w:pStyle w:val="Compact"/>
        <w:numPr>
          <w:ilvl w:val="0"/>
          <w:numId w:val="1004"/>
        </w:numPr>
      </w:pPr>
      <w:r>
        <w:t xml:space="preserve">§3092 (reporting of intelligence activities other than covert action).</w:t>
      </w:r>
    </w:p>
    <w:p>
      <w:pPr>
        <w:pStyle w:val="Compact"/>
        <w:numPr>
          <w:ilvl w:val="0"/>
          <w:numId w:val="1004"/>
        </w:numPr>
      </w:pPr>
      <w:r>
        <w:t xml:space="preserve">§3093 (covert action findings; Gang of Eight notice in extraordinary circumstances; no finding may</w:t>
      </w:r>
      <w:r>
        <w:t xml:space="preserve"> </w:t>
      </w:r>
      <w:r>
        <w:t xml:space="preserve">authorize unlawful action).</w:t>
      </w:r>
    </w:p>
    <w:p>
      <w:pPr>
        <w:pStyle w:val="Compact"/>
        <w:numPr>
          <w:ilvl w:val="0"/>
          <w:numId w:val="1004"/>
        </w:numPr>
      </w:pPr>
      <w:r>
        <w:t xml:space="preserve">§3373 and §3373b (AARO historical record; notification of unreported programs).</w:t>
      </w:r>
    </w:p>
    <w:p>
      <w:pPr>
        <w:pStyle w:val="Compact"/>
        <w:numPr>
          <w:ilvl w:val="0"/>
          <w:numId w:val="1004"/>
        </w:numPr>
      </w:pPr>
      <w:r>
        <w:t xml:space="preserve">§3094(a) (appropriated funds available to an intelligence agency</w:t>
      </w:r>
      <w:r>
        <w:t xml:space="preserve"> </w:t>
      </w:r>
      <w:r>
        <w:t xml:space="preserve">“</w:t>
      </w:r>
      <w:r>
        <w:t xml:space="preserve">may be obligated or expended for an intelligence</w:t>
      </w:r>
      <w:r>
        <w:t xml:space="preserve"> </w:t>
      </w:r>
      <w:r>
        <w:t xml:space="preserve">or intelligence-related activity only if</w:t>
      </w:r>
      <w:r>
        <w:t xml:space="preserve">”</w:t>
      </w:r>
      <w:r>
        <w:t xml:space="preserve"> </w:t>
      </w:r>
      <w:r>
        <w:t xml:space="preserve">the funds</w:t>
      </w:r>
      <w:r>
        <w:t xml:space="preserve"> </w:t>
      </w:r>
      <w:r>
        <w:t xml:space="preserve">“</w:t>
      </w:r>
      <w:r>
        <w:t xml:space="preserve">were specifically authorized by Congress for use for such</w:t>
      </w:r>
      <w:r>
        <w:t xml:space="preserve"> </w:t>
      </w:r>
      <w:r>
        <w:t xml:space="preserve">intelligence or intelligence-related activities,</w:t>
      </w:r>
      <w:r>
        <w:t xml:space="preserve">”</w:t>
      </w:r>
      <w:r>
        <w:t xml:space="preserve"> </w:t>
      </w:r>
      <w:r>
        <w:t xml:space="preserve">or come from the CIA Reserve for Contingencies under stated</w:t>
      </w:r>
      <w:r>
        <w:t xml:space="preserve"> </w:t>
      </w:r>
      <w:r>
        <w:t xml:space="preserve">conditions). An intelligence-funded UAP program that the intelligence committees never authorized was funded in</w:t>
      </w:r>
      <w:r>
        <w:t xml:space="preserve"> </w:t>
      </w:r>
      <w:r>
        <w:t xml:space="preserve">violation of §3094 whatever its classification, which is also an Antideficiency Act question.</w:t>
      </w:r>
    </w:p>
    <w:bookmarkEnd w:id="27"/>
    <w:bookmarkStart w:id="28" w:name="appropriations"/>
    <w:p>
      <w:pPr>
        <w:pStyle w:val="Heading3"/>
      </w:pPr>
      <w:r>
        <w:t xml:space="preserve">2.3 Appropriations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Appropriations Clause</w:t>
      </w:r>
      <w:r>
        <w:t xml:space="preserve">, U.S. Const. art. I, §9, cl. 7: no money may be drawn from the Treasury except</w:t>
      </w:r>
      <w:r>
        <w:t xml:space="preserve"> </w:t>
      </w:r>
      <w:r>
        <w:t xml:space="preserve">under appropriations made by law.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Purpose statute</w:t>
      </w:r>
      <w:r>
        <w:t xml:space="preserve">, 31 U.S.C. §1301(a): appropriations may be used only for their stated purposes.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Antideficiency Act</w:t>
      </w:r>
      <w:r>
        <w:t xml:space="preserve">, 31 U.S.C. §§1341, 1517: no obligation or expenditure in excess or advance of an</w:t>
      </w:r>
      <w:r>
        <w:t xml:space="preserve"> </w:t>
      </w:r>
      <w:r>
        <w:t xml:space="preserve">appropriation or in violation of a statutory funding limitation; violations must be reported to the</w:t>
      </w:r>
      <w:r>
        <w:t xml:space="preserve"> </w:t>
      </w:r>
      <w:r>
        <w:t xml:space="preserve">President, Congress, and the Comptroller General (§§1351, 1517(b)); knowing and willful violations are</w:t>
      </w:r>
      <w:r>
        <w:t xml:space="preserve"> </w:t>
      </w:r>
      <w:r>
        <w:t xml:space="preserve">crimes (§§1350, 1519). GAO publishes annual compilations of ADA reports, including some involving</w:t>
      </w:r>
      <w:r>
        <w:t xml:space="preserve"> </w:t>
      </w:r>
      <w:r>
        <w:t xml:space="preserve">intelligence funding (for example, an NGA purpose-statute and §1341 violation involving National</w:t>
      </w:r>
      <w:r>
        <w:t xml:space="preserve"> </w:t>
      </w:r>
      <w:r>
        <w:t xml:space="preserve">Intelligence Program and Military Intelligence Program funds).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Classified annexes</w:t>
      </w:r>
      <w:r>
        <w:t xml:space="preserve"> </w:t>
      </w:r>
      <w:r>
        <w:t xml:space="preserve">to authorization and appropriations acts specify funding for classified programs</w:t>
      </w:r>
      <w:r>
        <w:t xml:space="preserve"> </w:t>
      </w:r>
      <w:r>
        <w:t xml:space="preserve">and are incorporated by reference in public law (Rudesill,</w:t>
      </w:r>
      <w:r>
        <w:t xml:space="preserve"> </w:t>
      </w:r>
      <w:r>
        <w:rPr>
          <w:iCs/>
          <w:i/>
        </w:rPr>
        <w:t xml:space="preserve">Coming to Terms with Secret Law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6" w:name="applying-the-framework-to-uap-programs"/>
    <w:p>
      <w:pPr>
        <w:pStyle w:val="Heading2"/>
      </w:pPr>
      <w:r>
        <w:t xml:space="preserve">3. Applying the framework to UAP programs</w:t>
      </w:r>
    </w:p>
    <w:bookmarkStart w:id="31" w:name="programs-never-reported"/>
    <w:p>
      <w:pPr>
        <w:pStyle w:val="Heading3"/>
      </w:pPr>
      <w:r>
        <w:t xml:space="preserve">3.1 Programs never reported</w:t>
      </w:r>
    </w:p>
    <w:p>
      <w:pPr>
        <w:pStyle w:val="FirstParagraph"/>
      </w:pPr>
      <w:r>
        <w:t xml:space="preserve">A DoD SAP initiated without notice violated §119(f). Each year it continued without inclusion in the §119(a)</w:t>
      </w:r>
      <w:r>
        <w:t xml:space="preserve"> </w:t>
      </w:r>
      <w:r>
        <w:t xml:space="preserve">report (or waiver reporting to the chairs and ranking members) was a further violation. The statute has no</w:t>
      </w:r>
      <w:r>
        <w:t xml:space="preserve"> </w:t>
      </w:r>
      <w:r>
        <w:t xml:space="preserve">private remedy; it is enforced by Congress.</w:t>
      </w:r>
    </w:p>
    <w:p>
      <w:pPr>
        <w:pStyle w:val="BodyText"/>
      </w:pPr>
      <w:r>
        <w:t xml:space="preserve">The allegation is specific. A former director of the Navy’s UAP Task Force writes that the crash-retrieval program he</w:t>
      </w:r>
      <w:r>
        <w:t xml:space="preserve"> </w:t>
      </w:r>
      <w:r>
        <w:t xml:space="preserve">calls the Legacy Program</w:t>
      </w:r>
      <w:r>
        <w:t xml:space="preserve"> </w:t>
      </w:r>
      <w:r>
        <w:t xml:space="preserve">“</w:t>
      </w:r>
      <w:r>
        <w:t xml:space="preserve">was never briefed to Congress,</w:t>
      </w:r>
      <w:r>
        <w:t xml:space="preserve">”</w:t>
      </w:r>
      <w:r>
        <w:t xml:space="preserve"> </w:t>
      </w:r>
      <w:r>
        <w:t xml:space="preserve">that CIA held operational control while contracts ran</w:t>
      </w:r>
      <w:r>
        <w:t xml:space="preserve"> </w:t>
      </w:r>
      <w:r>
        <w:t xml:space="preserve">through Air Force vehicles so the work looked like a DoD effort, and that senators who sought access to facilities he</w:t>
      </w:r>
      <w:r>
        <w:t xml:space="preserve"> </w:t>
      </w:r>
      <w:r>
        <w:t xml:space="preserve">identified to Senate Armed Services staff were refused. Jay Stratton,</w:t>
      </w:r>
      <w:r>
        <w:t xml:space="preserve"> </w:t>
      </w:r>
      <w:r>
        <w:rPr>
          <w:iCs/>
          <w:i/>
        </w:rPr>
        <w:t xml:space="preserve">Out of the Shadows</w:t>
      </w:r>
      <w:r>
        <w:t xml:space="preserve"> </w:t>
      </w:r>
      <w:r>
        <w:t xml:space="preserve">chs. 8, 33 (2026). If those</w:t>
      </w:r>
      <w:r>
        <w:t xml:space="preserve"> </w:t>
      </w:r>
      <w:r>
        <w:t xml:space="preserve">accounts are accurate, the program sits in the gap between the two reporting regimes: a CIA-controlled activity</w:t>
      </w:r>
      <w:r>
        <w:t xml:space="preserve"> </w:t>
      </w:r>
      <w:r>
        <w:t xml:space="preserve">reported to neither the intelligence committees (50 U.S.C. §§3091, 3094) nor, as a DoD SAP, to the defense committees</w:t>
      </w:r>
      <w:r>
        <w:t xml:space="preserve"> </w:t>
      </w:r>
      <w:r>
        <w:t xml:space="preserve">(10 U.S.C. §119). Oversight requests should therefore go to both sets of committees and ask each agency which regime</w:t>
      </w:r>
      <w:r>
        <w:t xml:space="preserve"> </w:t>
      </w:r>
      <w:r>
        <w:t xml:space="preserve">it says applies (</w:t>
      </w:r>
      <w:hyperlink r:id="rId30">
        <w:r>
          <w:rPr>
            <w:rStyle w:val="Hyperlink"/>
          </w:rPr>
          <w:t xml:space="preserve">Form D1-1</w:t>
        </w:r>
      </w:hyperlink>
      <w:r>
        <w:t xml:space="preserve">).</w:t>
      </w:r>
    </w:p>
    <w:bookmarkEnd w:id="31"/>
    <w:bookmarkStart w:id="33" w:name="funds-spent-on-unreported-programs"/>
    <w:p>
      <w:pPr>
        <w:pStyle w:val="Heading3"/>
      </w:pPr>
      <w:r>
        <w:t xml:space="preserve">3.2 Funds spent on unreported programs</w:t>
      </w:r>
    </w:p>
    <w:p>
      <w:pPr>
        <w:pStyle w:val="Compact"/>
        <w:numPr>
          <w:ilvl w:val="0"/>
          <w:numId w:val="1006"/>
        </w:numPr>
      </w:pPr>
      <w:r>
        <w:t xml:space="preserve">If a program was funded through a general appropriation (for example, a classified line in a research and</w:t>
      </w:r>
      <w:r>
        <w:t xml:space="preserve"> </w:t>
      </w:r>
      <w:r>
        <w:t xml:space="preserve">development account) for a purpose within the appropriation, the purpose statute is satisfied even if</w:t>
      </w:r>
      <w:r>
        <w:t xml:space="preserve"> </w:t>
      </w:r>
      <w:r>
        <w:t xml:space="preserve">§119 was violated, unless the appropriations act itself conditions the funds on notice, as the DoD</w:t>
      </w:r>
      <w:r>
        <w:t xml:space="preserve"> </w:t>
      </w:r>
      <w:r>
        <w:t xml:space="preserve">appropriations acts do. The FY2026 Act provides:</w:t>
      </w:r>
      <w:r>
        <w:t xml:space="preserve"> </w:t>
      </w:r>
      <w:r>
        <w:t xml:space="preserve">“</w:t>
      </w:r>
      <w:r>
        <w:t xml:space="preserve">Funds appropriated by this Act may not be used to initiate,</w:t>
      </w:r>
      <w:r>
        <w:t xml:space="preserve"> </w:t>
      </w:r>
      <w:r>
        <w:t xml:space="preserve">or materially modify the scope of, a special access program without prior notification 30 calendar days in</w:t>
      </w:r>
      <w:r>
        <w:t xml:space="preserve"> </w:t>
      </w:r>
      <w:r>
        <w:t xml:space="preserve">advance to the congressional defense committees.</w:t>
      </w:r>
      <w:r>
        <w:t xml:space="preserve">”</w:t>
      </w:r>
      <w:r>
        <w:t xml:space="preserve"> </w:t>
      </w:r>
      <w:r>
        <w:t xml:space="preserve">Department of Defense Appropriations Act, 2026, Pub. L.</w:t>
      </w:r>
      <w:r>
        <w:t xml:space="preserve"> </w:t>
      </w:r>
      <w:r>
        <w:t xml:space="preserve">119-75, div. A, §8009, 140 Stat. 198 (Feb. 3, 2026). Earlier DoD appropriations acts</w:t>
      </w:r>
      <w:r>
        <w:t xml:space="preserve"> </w:t>
      </w:r>
      <w:r>
        <w:t xml:space="preserve">carry the same general provision; confirm the section number for each year at issue. Spending that year’s</w:t>
      </w:r>
      <w:r>
        <w:t xml:space="preserve"> </w:t>
      </w:r>
      <w:r>
        <w:t xml:space="preserve">funds to start or materially expand an unreported UAP-related SAP is therefore an obligation the</w:t>
      </w:r>
      <w:r>
        <w:t xml:space="preserve"> </w:t>
      </w:r>
      <w:r>
        <w:t xml:space="preserve">appropriation did not permit, which is an Antideficiency Act question (31 U.S.C. §1341(a)) and not merely a</w:t>
      </w:r>
      <w:r>
        <w:t xml:space="preserve"> </w:t>
      </w:r>
      <w:r>
        <w:t xml:space="preserve">§119 reporting lapse.</w:t>
      </w:r>
    </w:p>
    <w:p>
      <w:pPr>
        <w:pStyle w:val="Compact"/>
        <w:numPr>
          <w:ilvl w:val="0"/>
          <w:numId w:val="1006"/>
        </w:numPr>
      </w:pPr>
      <w:r>
        <w:t xml:space="preserve">If Congress enacted a specific prohibition (as in FY2024 NDAA §1687(a) and IAA §7343(b)), obligations in violation are ADA</w:t>
      </w:r>
      <w:r>
        <w:t xml:space="preserve"> </w:t>
      </w:r>
      <w:r>
        <w:t xml:space="preserve">violations requiring reports to Congress and GAO.</w:t>
      </w:r>
    </w:p>
    <w:p>
      <w:pPr>
        <w:pStyle w:val="Compact"/>
        <w:numPr>
          <w:ilvl w:val="0"/>
          <w:numId w:val="1006"/>
        </w:numPr>
      </w:pPr>
      <w:r>
        <w:t xml:space="preserve">If funds were transferred or reprogrammed without required notifications, or appropriated for one</w:t>
      </w:r>
      <w:r>
        <w:t xml:space="preserve"> </w:t>
      </w:r>
      <w:r>
        <w:t xml:space="preserve">purpose and spent for another, purpose-statute and ADA issues arise.</w:t>
      </w:r>
    </w:p>
    <w:p>
      <w:pPr>
        <w:pStyle w:val="Compact"/>
        <w:numPr>
          <w:ilvl w:val="0"/>
          <w:numId w:val="1006"/>
        </w:numPr>
      </w:pPr>
      <w:r>
        <w:t xml:space="preserve">Contractor IRAD charged as indirect cost for UAP work without the disclosure required by §1687(b) is</w:t>
      </w:r>
      <w:r>
        <w:t xml:space="preserve"> </w:t>
      </w:r>
      <w:r>
        <w:t xml:space="preserve">unallowable and, if certified, may support False Claims Act liability (</w:t>
      </w:r>
      <w:hyperlink r:id="rId32">
        <w:r>
          <w:rPr>
            <w:rStyle w:val="Hyperlink"/>
          </w:rPr>
          <w:t xml:space="preserve">Issue D2</w:t>
        </w:r>
      </w:hyperlink>
      <w:r>
        <w:t xml:space="preserve">).</w:t>
      </w:r>
    </w:p>
    <w:bookmarkEnd w:id="33"/>
    <w:bookmarkStart w:id="34" w:name="programs-held-by-contractors"/>
    <w:p>
      <w:pPr>
        <w:pStyle w:val="Heading3"/>
      </w:pPr>
      <w:r>
        <w:t xml:space="preserve">3.3 Programs held by contractors</w:t>
      </w:r>
    </w:p>
    <w:p>
      <w:pPr>
        <w:pStyle w:val="FirstParagraph"/>
      </w:pPr>
      <w:r>
        <w:t xml:space="preserve">Insider accounts describe UAP material held by contractors, possibly under independent research and</w:t>
      </w:r>
      <w:r>
        <w:t xml:space="preserve"> </w:t>
      </w:r>
      <w:r>
        <w:t xml:space="preserve">development or under contracts not identified as UAP-related. Congress’s tools include §1687(b), the</w:t>
      </w:r>
      <w:r>
        <w:t xml:space="preserve"> </w:t>
      </w:r>
      <w:r>
        <w:t xml:space="preserve">historical-record report, the Records Collection’s coverage of</w:t>
      </w:r>
      <w:r>
        <w:t xml:space="preserve"> </w:t>
      </w:r>
      <w:r>
        <w:t xml:space="preserve">“</w:t>
      </w:r>
      <w:r>
        <w:t xml:space="preserve">Government-funded</w:t>
      </w:r>
      <w:r>
        <w:t xml:space="preserve">”</w:t>
      </w:r>
      <w:r>
        <w:t xml:space="preserve"> </w:t>
      </w:r>
      <w:r>
        <w:t xml:space="preserve">records, and</w:t>
      </w:r>
      <w:r>
        <w:t xml:space="preserve"> </w:t>
      </w:r>
      <w:r>
        <w:t xml:space="preserve">subpoenas to contractors. The House-passed UAP Disclosure Act would extend disclosure duties to</w:t>
      </w:r>
      <w:r>
        <w:t xml:space="preserve"> </w:t>
      </w:r>
      <w:r>
        <w:t xml:space="preserve">“</w:t>
      </w:r>
      <w:r>
        <w:t xml:space="preserve">controlling authorities,</w:t>
      </w:r>
      <w:r>
        <w:t xml:space="preserve">”</w:t>
      </w:r>
      <w:r>
        <w:t xml:space="preserve"> </w:t>
      </w:r>
      <w:r>
        <w:t xml:space="preserve">including private companies (</w:t>
      </w:r>
      <w:hyperlink r:id="rId22">
        <w:r>
          <w:rPr>
            <w:rStyle w:val="Hyperlink"/>
          </w:rPr>
          <w:t xml:space="preserve">Issue A3</w:t>
        </w:r>
      </w:hyperlink>
      <w:r>
        <w:t xml:space="preserve">).</w:t>
      </w:r>
    </w:p>
    <w:bookmarkEnd w:id="34"/>
    <w:bookmarkStart w:id="35" w:name="declassification-events"/>
    <w:p>
      <w:pPr>
        <w:pStyle w:val="Heading3"/>
      </w:pPr>
      <w:r>
        <w:t xml:space="preserve">3.4 Declassification events</w:t>
      </w:r>
    </w:p>
    <w:p>
      <w:pPr>
        <w:pStyle w:val="FirstParagraph"/>
      </w:pPr>
      <w:r>
        <w:t xml:space="preserve">A disclosure that declassifies SAP information requires §119(c) notice at least 14 days before the change</w:t>
      </w:r>
      <w:r>
        <w:t xml:space="preserve"> </w:t>
      </w:r>
      <w:r>
        <w:t xml:space="preserve">or public announcement, absent exceptional circumstances. Counsel for committees should request copies of</w:t>
      </w:r>
      <w:r>
        <w:t xml:space="preserve"> </w:t>
      </w:r>
      <w:r>
        <w:t xml:space="preserve">any §119(c) reports; practitioners can cite the requirement in seeking schedules for declassification.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39" w:name="congressional-enforcement-tools"/>
    <w:p>
      <w:pPr>
        <w:pStyle w:val="Heading2"/>
      </w:pPr>
      <w:r>
        <w:t xml:space="preserve">4. Congressional enforcement tools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Subpoenas</w:t>
      </w:r>
      <w:r>
        <w:t xml:space="preserve"> </w:t>
      </w:r>
      <w:r>
        <w:t xml:space="preserve">to agencies, officials, and contractors; enforcement through criminal contempt referral (2</w:t>
      </w:r>
      <w:r>
        <w:t xml:space="preserve"> </w:t>
      </w:r>
      <w:r>
        <w:t xml:space="preserve">U.S.C. §§192, 194), civil suit (</w:t>
      </w:r>
      <w:r>
        <w:rPr>
          <w:iCs/>
          <w:i/>
        </w:rPr>
        <w:t xml:space="preserve">Committee on the Judiciary v. McGahn</w:t>
      </w:r>
      <w:r>
        <w:t xml:space="preserve">, 968 F.3d 755 (D.C. Cir. 2020) (en</w:t>
      </w:r>
      <w:r>
        <w:t xml:space="preserve"> </w:t>
      </w:r>
      <w:r>
        <w:t xml:space="preserve">banc) (a House committee has Article III standing to enforce a subpoena)), or inherent contempt. On remand a</w:t>
      </w:r>
      <w:r>
        <w:t xml:space="preserve"> </w:t>
      </w:r>
      <w:r>
        <w:t xml:space="preserve">panel held that the committee had no cause of action, 973 F.3d 121 (D.C. Cir. 2020), but that judgment was</w:t>
      </w:r>
      <w:r>
        <w:t xml:space="preserve"> </w:t>
      </w:r>
      <w:r>
        <w:t xml:space="preserve">vacated when the full court granted rehearing en banc on October 15, 2020. Public reports state that the case ended in 2021 by an agreement under which McGahn testified,</w:t>
      </w:r>
      <w:r>
        <w:t xml:space="preserve"> </w:t>
      </w:r>
      <w:r>
        <w:t xml:space="preserve">so the cause-of-action question remains open in the D.C. Circuit.</w:t>
      </w:r>
      <w:r>
        <w:t xml:space="preserve"> </w:t>
      </w:r>
      <w:r>
        <w:rPr>
          <w:iCs/>
          <w:i/>
        </w:rPr>
        <w:t xml:space="preserve">Trump v. Mazars USA, LLP</w:t>
      </w:r>
      <w:r>
        <w:t xml:space="preserve">, 591 U.S. 848</w:t>
      </w:r>
      <w:r>
        <w:t xml:space="preserve"> </w:t>
      </w:r>
      <w:r>
        <w:t xml:space="preserve">(2020), limits subpoenas for the President’s personal information.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Appropriations riders and fencing</w:t>
      </w:r>
      <w:r>
        <w:t xml:space="preserve">: withholding funds until reports are delivered (the model of</w:t>
      </w:r>
      <w:r>
        <w:t xml:space="preserve"> </w:t>
      </w:r>
      <w:r>
        <w:t xml:space="preserve">§1687).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Access riders enforceable by individual members.</w:t>
      </w:r>
      <w:r>
        <w:t xml:space="preserve"> </w:t>
      </w:r>
      <w:r>
        <w:t xml:space="preserve">An appropriations rider that bars an agency from using funds to</w:t>
      </w:r>
      <w:r>
        <w:t xml:space="preserve"> </w:t>
      </w:r>
      <w:r>
        <w:t xml:space="preserve">prevent members of Congress from entering its facilities can be enforced by the members themselves. In</w:t>
      </w:r>
      <w:r>
        <w:t xml:space="preserve"> </w:t>
      </w:r>
      <w:r>
        <w:rPr>
          <w:iCs/>
          <w:i/>
        </w:rPr>
        <w:t xml:space="preserve">Neguse v.</w:t>
      </w:r>
      <w:r>
        <w:rPr>
          <w:iCs/>
          <w:i/>
        </w:rPr>
        <w:t xml:space="preserve"> </w:t>
      </w:r>
      <w:r>
        <w:rPr>
          <w:iCs/>
          <w:i/>
        </w:rPr>
        <w:t xml:space="preserve">U.S. Immigration &amp; Customs Enforcement</w:t>
      </w:r>
      <w:r>
        <w:t xml:space="preserve">, 813 F. Supp. 3d 45 (D.D.C. 2025), twelve House members challenged ICE</w:t>
      </w:r>
      <w:r>
        <w:t xml:space="preserve"> </w:t>
      </w:r>
      <w:r>
        <w:t xml:space="preserve">policies requiring seven days’ notice before oversight visits and excluding field offices from the rider (DHS</w:t>
      </w:r>
      <w:r>
        <w:t xml:space="preserve"> </w:t>
      </w:r>
      <w:r>
        <w:t xml:space="preserve">appropriations §527). The court held that the rider gives each member an entitlement to access and information, so</w:t>
      </w:r>
      <w:r>
        <w:t xml:space="preserve"> </w:t>
      </w:r>
      <w:r>
        <w:t xml:space="preserve">denial is a personal injury and</w:t>
      </w:r>
      <w:r>
        <w:t xml:space="preserve"> </w:t>
      </w:r>
      <w:r>
        <w:rPr>
          <w:iCs/>
          <w:i/>
        </w:rPr>
        <w:t xml:space="preserve">Raines v. Byrd</w:t>
      </w:r>
      <w:r>
        <w:t xml:space="preserve"> </w:t>
      </w:r>
      <w:r>
        <w:t xml:space="preserve">does not bar standing,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73, 77-84; that the Antideficiency</w:t>
      </w:r>
      <w:r>
        <w:t xml:space="preserve"> </w:t>
      </w:r>
      <w:r>
        <w:t xml:space="preserve">Act’s administrative and criminal remedies do not preclude APA review,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87-89; and that the notice</w:t>
      </w:r>
      <w:r>
        <w:t xml:space="preserve"> </w:t>
      </w:r>
      <w:r>
        <w:t xml:space="preserve">requirement likely violated the rider,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91-93. It stayed the policies. A UAP provision modeled on §527, barring</w:t>
      </w:r>
      <w:r>
        <w:t xml:space="preserve"> </w:t>
      </w:r>
      <w:r>
        <w:t xml:space="preserve">the use of funds to deny members or cleared committee staff access to facilities where UAP material or SAP records</w:t>
      </w:r>
      <w:r>
        <w:t xml:space="preserve"> </w:t>
      </w:r>
      <w:r>
        <w:t xml:space="preserve">are held, would give individual members a judicial remedy that §119 notice requirements do not. Check</w:t>
      </w:r>
      <w:r>
        <w:t xml:space="preserve"> </w:t>
      </w:r>
      <w:r>
        <w:t xml:space="preserve">the appeal status before relying on</w:t>
      </w:r>
      <w:r>
        <w:t xml:space="preserve"> </w:t>
      </w:r>
      <w:r>
        <w:rPr>
          <w:iCs/>
          <w:i/>
        </w:rPr>
        <w:t xml:space="preserve">Neguse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Inherent contempt.</w:t>
      </w:r>
      <w:r>
        <w:t xml:space="preserve"> </w:t>
      </w:r>
      <w:r>
        <w:t xml:space="preserve">Each House has power to compel testimony and punish contempt on its own authority,</w:t>
      </w:r>
      <w:r>
        <w:t xml:space="preserve"> </w:t>
      </w:r>
      <w:r>
        <w:t xml:space="preserve">recognized since</w:t>
      </w:r>
      <w:r>
        <w:t xml:space="preserve"> </w:t>
      </w:r>
      <w:r>
        <w:rPr>
          <w:iCs/>
          <w:i/>
        </w:rPr>
        <w:t xml:space="preserve">Anderson v. Dunn</w:t>
      </w:r>
      <w:r>
        <w:t xml:space="preserve">, 19 U.S. (6 Wheat.) 204 (1821), and tied to the power of inquiry in *McGrain</w:t>
      </w:r>
    </w:p>
    <w:p>
      <w:pPr>
        <w:pStyle w:val="Compact"/>
        <w:numPr>
          <w:ilvl w:val="0"/>
          <w:numId w:val="1000"/>
        </w:numPr>
      </w:pPr>
      <w:r>
        <w:t xml:space="preserve">v. Daugherty</w:t>
      </w:r>
      <w:r>
        <w:rPr>
          <w:iCs/>
          <w:i/>
        </w:rPr>
        <w:t xml:space="preserve">, 273 U.S. 135, 174-75 (1927). It has not been used against an executive official in modern times, but</w:t>
      </w:r>
      <w:r>
        <w:rPr>
          <w:iCs/>
          <w:i/>
        </w:rPr>
        <w:t xml:space="preserve"> </w:t>
      </w:r>
      <w:r>
        <w:rPr>
          <w:iCs/>
          <w:i/>
        </w:rPr>
        <w:t xml:space="preserve">it remains available when civil enforcement is uncertain (</w:t>
      </w:r>
      <w:r>
        <w:t xml:space="preserve">McGahn*, above).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Public disclosure by vote of the intelligence committees.</w:t>
      </w:r>
      <w:r>
        <w:t xml:space="preserve"> </w:t>
      </w:r>
      <w:r>
        <w:t xml:space="preserve">Congress can itself make classified information</w:t>
      </w:r>
      <w:r>
        <w:t xml:space="preserve"> </w:t>
      </w:r>
      <w:r>
        <w:t xml:space="preserve">public. Under S. Res. 400 (94th Cong.) §8, the Senate Intelligence Committee may disclose information after</w:t>
      </w:r>
      <w:r>
        <w:t xml:space="preserve"> </w:t>
      </w:r>
      <w:r>
        <w:t xml:space="preserve">determining</w:t>
      </w:r>
      <w:r>
        <w:t xml:space="preserve"> </w:t>
      </w:r>
      <w:r>
        <w:t xml:space="preserve">“</w:t>
      </w:r>
      <w:r>
        <w:t xml:space="preserve">that the public interest would be served by such disclosure.</w:t>
      </w:r>
      <w:r>
        <w:t xml:space="preserve">”</w:t>
      </w:r>
      <w:r>
        <w:t xml:space="preserve"> </w:t>
      </w:r>
      <w:r>
        <w:t xml:space="preserve">If the executive branch classified the</w:t>
      </w:r>
      <w:r>
        <w:t xml:space="preserve"> </w:t>
      </w:r>
      <w:r>
        <w:t xml:space="preserve">information and asked that it be kept secret, the committee must notify and consult the Majority and Minority</w:t>
      </w:r>
      <w:r>
        <w:t xml:space="preserve"> </w:t>
      </w:r>
      <w:r>
        <w:t xml:space="preserve">Leaders and notify the President; it may disclose after five days unless the President,</w:t>
      </w:r>
      <w:r>
        <w:t xml:space="preserve"> </w:t>
      </w:r>
      <w:r>
        <w:t xml:space="preserve">“</w:t>
      </w:r>
      <w:r>
        <w:t xml:space="preserve">personally in writing,</w:t>
      </w:r>
      <w:r>
        <w:t xml:space="preserve">”</w:t>
      </w:r>
      <w:r>
        <w:t xml:space="preserve"> </w:t>
      </w:r>
      <w:r>
        <w:t xml:space="preserve">objects and certifies that the threat to the national interest</w:t>
      </w:r>
      <w:r>
        <w:t xml:space="preserve"> </w:t>
      </w:r>
      <w:r>
        <w:t xml:space="preserve">“</w:t>
      </w:r>
      <w:r>
        <w:t xml:space="preserve">is of such gravity that it outweighs any public</w:t>
      </w:r>
      <w:r>
        <w:t xml:space="preserve"> </w:t>
      </w:r>
      <w:r>
        <w:t xml:space="preserve">interest in the disclosure.</w:t>
      </w:r>
      <w:r>
        <w:t xml:space="preserve">”</w:t>
      </w:r>
      <w:r>
        <w:t xml:space="preserve"> </w:t>
      </w:r>
      <w:r>
        <w:t xml:space="preserve">The Leaders or the committee may then refer the question to the Senate, which decides</w:t>
      </w:r>
      <w:r>
        <w:t xml:space="preserve"> </w:t>
      </w:r>
      <w:r>
        <w:t xml:space="preserve">it in closed session (S. Res. 400 §8(a)-(b), as printed in the committee’s rules, 169 Cong. Rec. S518 (daily ed.</w:t>
      </w:r>
      <w:r>
        <w:t xml:space="preserve"> </w:t>
      </w:r>
      <w:r>
        <w:t xml:space="preserve">Feb. 28, 2023)). House Rule X, clause 11(g) gives the House Permanent Select Committee on Intelligence the same</w:t>
      </w:r>
      <w:r>
        <w:t xml:space="preserve"> </w:t>
      </w:r>
      <w:r>
        <w:t xml:space="preserve">procedure, with referral to the House (Rules of the House, 119th Cong., §785). No chamber is known to have</w:t>
      </w:r>
      <w:r>
        <w:t xml:space="preserve"> </w:t>
      </w:r>
      <w:r>
        <w:t xml:space="preserve">completed the procedure over a presidential objection, but it is the one route by which Congress could release UAP</w:t>
      </w:r>
      <w:r>
        <w:t xml:space="preserve"> </w:t>
      </w:r>
      <w:r>
        <w:t xml:space="preserve">information without executive consent, and a committee member can force a vote within five days of a request.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Speech or Debate.</w:t>
      </w:r>
      <w:r>
        <w:t xml:space="preserve"> </w:t>
      </w:r>
      <w:r>
        <w:t xml:space="preserve">A member who reads classified material into the record in committee is protected from being</w:t>
      </w:r>
      <w:r>
        <w:t xml:space="preserve"> </w:t>
      </w:r>
      <w:r>
        <w:t xml:space="preserve">questioned about it elsewhere,</w:t>
      </w:r>
      <w:r>
        <w:t xml:space="preserve"> </w:t>
      </w:r>
      <w:r>
        <w:rPr>
          <w:iCs/>
          <w:i/>
        </w:rPr>
        <w:t xml:space="preserve">Gravel v. United States</w:t>
      </w:r>
      <w:r>
        <w:t xml:space="preserve">, 408 U.S. 606, 616-17 (1972), though</w:t>
      </w:r>
      <w:r>
        <w:t xml:space="preserve"> </w:t>
      </w:r>
      <w:r>
        <w:rPr>
          <w:iCs/>
          <w:i/>
        </w:rPr>
        <w:t xml:space="preserve">Gravel</w:t>
      </w:r>
      <w:r>
        <w:t xml:space="preserve"> </w:t>
      </w:r>
      <w:r>
        <w:t xml:space="preserve">did not</w:t>
      </w:r>
      <w:r>
        <w:t xml:space="preserve"> </w:t>
      </w:r>
      <w:r>
        <w:t xml:space="preserve">protect private republication outside the legislative process.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Hearings and sworn testimony</w:t>
      </w:r>
      <w:r>
        <w:t xml:space="preserve">; referrals to DOJ for false statements. Take testimony under oath: the open</w:t>
      </w:r>
      <w:r>
        <w:t xml:space="preserve"> </w:t>
      </w:r>
      <w:r>
        <w:t xml:space="preserve">hearings with AARO’s directors in 2023 and 2024 were not sworn (</w:t>
      </w:r>
      <w:hyperlink r:id="rId23">
        <w:r>
          <w:rPr>
            <w:rStyle w:val="Hyperlink"/>
          </w:rPr>
          <w:t xml:space="preserve">Issue D3</w:t>
        </w:r>
      </w:hyperlink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GAO</w:t>
      </w:r>
      <w:r>
        <w:t xml:space="preserve">: audits (FY2023 §6803; FY2025 §6801 review of AARO) and appropriations law decisions. GAO’s statutory</w:t>
      </w:r>
      <w:r>
        <w:t xml:space="preserve"> </w:t>
      </w:r>
      <w:r>
        <w:t xml:space="preserve">right of access to records does not let it compel records of activities the President designates as foreign</w:t>
      </w:r>
      <w:r>
        <w:t xml:space="preserve"> </w:t>
      </w:r>
      <w:r>
        <w:t xml:space="preserve">intelligence or counterintelligence activities (31 U.S.C. §716(d)(1)(A)), so a GAO review of an intelligence-run</w:t>
      </w:r>
      <w:r>
        <w:t xml:space="preserve"> </w:t>
      </w:r>
      <w:r>
        <w:t xml:space="preserve">program depends on the agency’s cooperation or on a committee request with the committee’s own access.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Inspectors general</w:t>
      </w:r>
      <w:r>
        <w:t xml:space="preserve">: DoD IG and ICIG evaluations of SAP oversight.</w:t>
      </w:r>
    </w:p>
    <w:p>
      <w:r>
        <w:pict>
          <v:rect style="width:0;height:1.5pt" o:hralign="center" o:hrstd="t" o:hr="t"/>
        </w:pict>
      </w:r>
    </w:p>
    <w:bookmarkStart w:id="37" w:name="notice-deadlines-at-a-glance"/>
    <w:p>
      <w:pPr>
        <w:pStyle w:val="Heading3"/>
      </w:pPr>
      <w:r>
        <w:t xml:space="preserve">4.1 Notice deadlines at a glance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Authority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DoD SAP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Notice to defense committees, then 30 days before initiation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U.S.C. §119(f); FY2026 DoD Approps. §8009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Annual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 by March 1; notice of new SAPs by February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§119(a)-(b)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Declassification or public announcement of a SAP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 at least 14 days before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§119(c)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Waived SAP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Notice to chair and ranking member of each defense committee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§119(e)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Authorized disclosure about an unreported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AARO notice to committees within 72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U.S.C. §3373b(a)(4)(B)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Intelligence 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Keep committees</w:t>
            </w:r>
            <w:r>
              <w:t xml:space="preserve"> </w:t>
            </w:r>
            <w:r>
              <w:t xml:space="preserve">“</w:t>
            </w:r>
            <w:r>
              <w:t xml:space="preserve">fully and currently informed</w:t>
            </w:r>
            <w:r>
              <w:t xml:space="preserve">”</w:t>
            </w:r>
            <w:r>
              <w:t xml:space="preserve">; funds only if specifically authorized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U.S.C. §§3091, 3094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Antideficiency Act violation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 to the President, Congress, and the Comptroller General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 U.S.C. §§1351, 1517(b)</w:t>
            </w:r>
          </w:p>
        </w:tc>
      </w:tr>
    </w:tbl>
    <w:bookmarkEnd w:id="37"/>
    <w:bookmarkStart w:id="38" w:name="X8ce7ecb8c2fca3060e9e6346613390dfe778d80"/>
    <w:p>
      <w:pPr>
        <w:pStyle w:val="Heading3"/>
      </w:pPr>
      <w:r>
        <w:t xml:space="preserve">4.2 What an Antideficiency Act report would contain</w:t>
      </w:r>
    </w:p>
    <w:p>
      <w:pPr>
        <w:pStyle w:val="FirstParagraph"/>
      </w:pPr>
      <w:r>
        <w:t xml:space="preserve">If an agency concluded that it spent FY2024 funds on an unreported UAP activity in violation of §1687(a), its report</w:t>
      </w:r>
      <w:r>
        <w:t xml:space="preserve"> </w:t>
      </w:r>
      <w:r>
        <w:t xml:space="preserve">would identify the appropriation and amount, the officer responsible, the facts, the action taken against</w:t>
      </w:r>
      <w:r>
        <w:t xml:space="preserve"> </w:t>
      </w:r>
      <w:r>
        <w:t xml:space="preserve">responsible officials, and the steps to prevent recurrence (31 U.S.C. §1351; OMB Circular A-11 §145). Committee</w:t>
      </w:r>
      <w:r>
        <w:t xml:space="preserve"> </w:t>
      </w:r>
      <w:r>
        <w:t xml:space="preserve">counsel can ask for any such report or for the agency’s written determination that none was required (</w:t>
      </w:r>
      <w:hyperlink r:id="rId30">
        <w:r>
          <w:rPr>
            <w:rStyle w:val="Hyperlink"/>
          </w:rPr>
          <w:t xml:space="preserve">Form D1-1</w:t>
        </w:r>
      </w:hyperlink>
      <w:r>
        <w:t xml:space="preserve">,</w:t>
      </w:r>
      <w:r>
        <w:t xml:space="preserve"> </w:t>
      </w:r>
      <w:r>
        <w:t xml:space="preserve">item 7).</w:t>
      </w:r>
    </w:p>
    <w:bookmarkEnd w:id="38"/>
    <w:bookmarkEnd w:id="39"/>
    <w:bookmarkStart w:id="40" w:name="practice-points"/>
    <w:p>
      <w:pPr>
        <w:pStyle w:val="Heading2"/>
      </w:pPr>
      <w:r>
        <w:t xml:space="preserve">5. Practice points</w:t>
      </w:r>
    </w:p>
    <w:p>
      <w:pPr>
        <w:pStyle w:val="Compact"/>
        <w:numPr>
          <w:ilvl w:val="0"/>
          <w:numId w:val="1008"/>
        </w:numPr>
      </w:pPr>
      <w:r>
        <w:t xml:space="preserve">For committee counsel: request every §119 report, waiver justification, §119(c) notice, §3091 notification,</w:t>
      </w:r>
      <w:r>
        <w:t xml:space="preserve"> </w:t>
      </w:r>
      <w:r>
        <w:t xml:space="preserve">and ADA report touching UAP; ask AARO for its §3373b(a)(4)(B) 72-hour notifications. On the site’s premise that</w:t>
      </w:r>
      <w:r>
        <w:t xml:space="preserve"> </w:t>
      </w:r>
      <w:r>
        <w:t xml:space="preserve">AARO is part of the concealment, compare AARO’s notifications with what whistleblowers say they disclosed, and ask</w:t>
      </w:r>
      <w:r>
        <w:t xml:space="preserve"> </w:t>
      </w:r>
      <w:r>
        <w:t xml:space="preserve">the inspector general to audit the mechanism.</w:t>
      </w:r>
    </w:p>
    <w:p>
      <w:pPr>
        <w:pStyle w:val="Compact"/>
        <w:numPr>
          <w:ilvl w:val="0"/>
          <w:numId w:val="1008"/>
        </w:numPr>
      </w:pPr>
      <w:r>
        <w:t xml:space="preserve">For members who want public release: request a vote under S. Res. 400 §8 or House Rule X cl. 11(g).</w:t>
      </w:r>
    </w:p>
    <w:p>
      <w:pPr>
        <w:pStyle w:val="Compact"/>
        <w:numPr>
          <w:ilvl w:val="0"/>
          <w:numId w:val="1008"/>
        </w:numPr>
      </w:pPr>
      <w:r>
        <w:t xml:space="preserve">Further reading: Dillon Guthrie,</w:t>
      </w:r>
      <w:r>
        <w:t xml:space="preserve"> </w:t>
      </w:r>
      <w:r>
        <w:rPr>
          <w:iCs/>
          <w:i/>
        </w:rPr>
        <w:t xml:space="preserve">Flying Saucers and the Ivory Dome: Congressional Oversight Concerning</w:t>
      </w:r>
      <w:r>
        <w:rPr>
          <w:iCs/>
          <w:i/>
        </w:rPr>
        <w:t xml:space="preserve"> </w:t>
      </w:r>
      <w:r>
        <w:rPr>
          <w:iCs/>
          <w:i/>
        </w:rPr>
        <w:t xml:space="preserve">Unidentified Anomalous Phenomena</w:t>
      </w:r>
      <w:r>
        <w:t xml:space="preserve">, 16 Harv. Nat’l Sec. J. 194 (2025); Addison Yang, Note,</w:t>
      </w:r>
      <w:r>
        <w:t xml:space="preserve"> </w:t>
      </w:r>
      <w:r>
        <w:rPr>
          <w:iCs/>
          <w:i/>
        </w:rPr>
        <w:t xml:space="preserve">The UAP Disclosure</w:t>
      </w:r>
      <w:r>
        <w:rPr>
          <w:iCs/>
          <w:i/>
        </w:rPr>
        <w:t xml:space="preserve"> </w:t>
      </w:r>
      <w:r>
        <w:rPr>
          <w:iCs/>
          <w:i/>
        </w:rPr>
        <w:t xml:space="preserve">Act: Implications for Congressional Oversight and Public Awareness of Unidentified Anomalous Phenomena</w:t>
      </w:r>
      <w:r>
        <w:t xml:space="preserve">, 27</w:t>
      </w:r>
      <w:r>
        <w:t xml:space="preserve"> </w:t>
      </w:r>
      <w:r>
        <w:t xml:space="preserve">N.Y.U. J. Legis. &amp; Pub. Pol’y 565 (2024-2025) (arguing that the bill shows senior members take the</w:t>
      </w:r>
      <w:r>
        <w:t xml:space="preserve"> </w:t>
      </w:r>
      <w:r>
        <w:t xml:space="preserve">crash-retrieval testimony seriously).</w:t>
      </w:r>
    </w:p>
    <w:p>
      <w:pPr>
        <w:pStyle w:val="Compact"/>
        <w:numPr>
          <w:ilvl w:val="0"/>
          <w:numId w:val="1008"/>
        </w:numPr>
      </w:pPr>
      <w:r>
        <w:t xml:space="preserve">For whistleblowers: allegations that a program was not reported to Congress are the core</w:t>
      </w:r>
      <w:r>
        <w:t xml:space="preserve"> </w:t>
      </w:r>
      <w:r>
        <w:t xml:space="preserve">“</w:t>
      </w:r>
      <w:r>
        <w:t xml:space="preserve">urgent concern</w:t>
      </w:r>
      <w:r>
        <w:t xml:space="preserve">”</w:t>
      </w:r>
      <w:r>
        <w:t xml:space="preserve"> </w:t>
      </w:r>
      <w:r>
        <w:t xml:space="preserve">category (50 U.S.C. §3033(k)(5)); use the ICIG and §3373b channels (</w:t>
      </w:r>
      <w:hyperlink r:id="rId25">
        <w:r>
          <w:rPr>
            <w:rStyle w:val="Hyperlink"/>
          </w:rPr>
          <w:t xml:space="preserve">Issue C1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For contractors: review IRAD cost treatment for any UAP-related work under §1687(b); consider voluntary</w:t>
      </w:r>
      <w:r>
        <w:t xml:space="preserve"> </w:t>
      </w:r>
      <w:r>
        <w:t xml:space="preserve">disclosure (</w:t>
      </w:r>
      <w:hyperlink r:id="rId32">
        <w:r>
          <w:rPr>
            <w:rStyle w:val="Hyperlink"/>
          </w:rPr>
          <w:t xml:space="preserve">Issue D2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40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Congressional Oversight of Unacknowledged UAP Programs: Reporting Duties,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30" Type="http://schemas.openxmlformats.org/officeDocument/2006/relationships/hyperlink" Target="https://nhilaw.com/forms/d1-1.html" TargetMode="External"/><Relationship Id="rId22" Type="http://schemas.openxmlformats.org/officeDocument/2006/relationships/hyperlink" Target="https://nhilaw.com/issues/a3.html" TargetMode="External"/><Relationship Id="rId25" Type="http://schemas.openxmlformats.org/officeDocument/2006/relationships/hyperlink" Target="https://nhilaw.com/issues/c1.html" TargetMode="External"/><Relationship Id="rId32" Type="http://schemas.openxmlformats.org/officeDocument/2006/relationships/hyperlink" Target="https://nhilaw.com/issues/d2.html" TargetMode="External"/><Relationship Id="rId23" Type="http://schemas.openxmlformats.org/officeDocument/2006/relationships/hyperlink" Target="https://nhilaw.com/issues/d3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30" Type="http://schemas.openxmlformats.org/officeDocument/2006/relationships/hyperlink" Target="https://nhilaw.com/forms/d1-1.html" TargetMode="External"/><Relationship Id="rId22" Type="http://schemas.openxmlformats.org/officeDocument/2006/relationships/hyperlink" Target="https://nhilaw.com/issues/a3.html" TargetMode="External"/><Relationship Id="rId25" Type="http://schemas.openxmlformats.org/officeDocument/2006/relationships/hyperlink" Target="https://nhilaw.com/issues/c1.html" TargetMode="External"/><Relationship Id="rId32" Type="http://schemas.openxmlformats.org/officeDocument/2006/relationships/hyperlink" Target="https://nhilaw.com/issues/d2.html" TargetMode="External"/><Relationship Id="rId23" Type="http://schemas.openxmlformats.org/officeDocument/2006/relationships/hyperlink" Target="https://nhilaw.com/issues/d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Congressional Oversight of Unacknowledged UAP Programs: Reporting Duties, Funding Limits, and Enforcement</dc:title>
  <dc:creator>nhilaw.com</dc:creator>
  <cp:keywords/>
  <dcterms:created xsi:type="dcterms:W3CDTF">2026-10-19T03:13:15Z</dcterms:created>
  <dcterms:modified xsi:type="dcterms:W3CDTF">2026-10-19T03:13:15Z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nhilaw.com/issues/d1.html</vt:lpwstr>
  </property>
</Properties>
</file>