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f5dffb1d46243eba1e7ac1308f2400f83bc3782"/>
    <w:p>
      <w:pPr>
        <w:pStyle w:val="Heading1"/>
      </w:pPr>
      <w:r>
        <w:t xml:space="preserve">Form D2-1. Contractor Disclosure Letter Concerning UAP-Related IRAD Costs (FAR 52.203-13 and FY2024 NDAA §1687(b))</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https://nhilaw.com/forms/d2-1.html</w:t>
      </w:r>
    </w:p>
    <w:p>
      <w:pPr>
        <w:pStyle w:val="BodyText"/>
        <w:spacing w:after="160" w:line="259" w:lineRule="auto"/>
      </w:pPr>
      <w:r>
        <w:rPr>
          <w:bCs/>
          <w:b/>
        </w:rPr>
        <w:t xml:space="preserve">When to use.</w:t>
      </w:r>
      <w:r>
        <w:t xml:space="preserve"> </w:t>
      </w:r>
      <w:r>
        <w:t xml:space="preserve">A contractor that may have charged UAP-related IRAD as an indirect cost without the disclosure §1687(b) requires.</w:t>
      </w:r>
      <w:r>
        <w:t xml:space="preserve"> </w:t>
      </w:r>
      <w:r>
        <w:rPr>
          <w:bCs/>
          <w:b/>
        </w:rPr>
        <w:t xml:space="preserve">Not for:</w:t>
      </w:r>
      <w:r>
        <w:t xml:space="preserve"> </w:t>
      </w:r>
      <w:r>
        <w:t xml:space="preserve">Contractors with no UAP-related IRAD.</w:t>
      </w:r>
    </w:p>
    <w:p>
      <w:pPr>
        <w:pStyle w:val="BodyText"/>
        <w:spacing w:after="160" w:line="259" w:lineRule="auto"/>
      </w:pPr>
      <w:r>
        <w:rPr>
          <w:bCs/>
          <w:b/>
        </w:rPr>
        <w:t xml:space="preserve">Deadlines.</w:t>
      </w:r>
      <w:r>
        <w:t xml:space="preserve"> </w:t>
      </w:r>
      <w:r>
        <w:t xml:space="preserve">Disclose credible evidence</w:t>
      </w:r>
      <w:r>
        <w:t xml:space="preserve"> </w:t>
      </w:r>
      <w:r>
        <w:t xml:space="preserve">“</w:t>
      </w:r>
      <w:r>
        <w:t xml:space="preserve">timely</w:t>
      </w:r>
      <w:r>
        <w:t xml:space="preserve">”</w:t>
      </w:r>
      <w:r>
        <w:t xml:space="preserve"> </w:t>
      </w:r>
      <w:r>
        <w:t xml:space="preserve">(FAR 52.203-13(b)(3)(i)). False Claims Act exposure runs six years, up to ten if concealed (31 U.S.C. §3731(b)).</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[Company letterhead]</w:t>
      </w:r>
    </w:p>
    <w:p>
      <w:pPr>
        <w:pStyle w:val="BodyText"/>
      </w:pPr>
      <w:r>
        <w:t xml:space="preserve">[Date]</w:t>
      </w:r>
    </w:p>
    <w:p>
      <w:pPr>
        <w:pStyle w:val="BodyText"/>
      </w:pPr>
      <w:r>
        <w:t xml:space="preserve">Office of Inspector General, [Department of War / agency]</w:t>
      </w:r>
      <w:r>
        <w:br/>
      </w:r>
      <w:r>
        <w:t xml:space="preserve">[Contractor Disclosure Program address]</w:t>
      </w:r>
    </w:p>
    <w:p>
      <w:pPr>
        <w:pStyle w:val="BodyText"/>
      </w:pPr>
      <w:r>
        <w:t xml:space="preserve">cc: Contracting Officer, [contract numbers]; Administrative Contracting Officer; DCAA [office]</w:t>
      </w:r>
    </w:p>
    <w:p>
      <w:pPr>
        <w:pStyle w:val="BodyText"/>
      </w:pPr>
      <w:r>
        <w:rPr>
          <w:bCs/>
          <w:b/>
        </w:rPr>
        <w:t xml:space="preserve">Re: Disclosure under FAR 52.203-13 [or voluntary disclosure] concerning independent research and</w:t>
      </w:r>
      <w:r>
        <w:rPr>
          <w:bCs/>
          <w:b/>
        </w:rPr>
        <w:t xml:space="preserve"> </w:t>
      </w:r>
      <w:r>
        <w:rPr>
          <w:bCs/>
          <w:b/>
        </w:rPr>
        <w:t xml:space="preserve">development costs relating to unidentified anomalous phenomena</w:t>
      </w:r>
    </w:p>
    <w:p>
      <w:pPr>
        <w:pStyle w:val="BodyText"/>
      </w:pPr>
      <w:r>
        <w:t xml:space="preserve">Dear [IG]:</w:t>
      </w:r>
    </w:p>
    <w:p>
      <w:pPr>
        <w:pStyle w:val="BodyText"/>
      </w:pPr>
      <w:r>
        <w:t xml:space="preserve">[Company] submits this [disclosure / voluntary disclosure] concerning the treatment of certain independent</w:t>
      </w:r>
      <w:r>
        <w:t xml:space="preserve"> </w:t>
      </w:r>
      <w:r>
        <w:t xml:space="preserve">research and development (</w:t>
      </w:r>
      <w:r>
        <w:t xml:space="preserve">“</w:t>
      </w:r>
      <w:r>
        <w:t xml:space="preserve">IRAD</w:t>
      </w:r>
      <w:r>
        <w:t xml:space="preserve">”</w:t>
      </w:r>
      <w:r>
        <w:t xml:space="preserve">) costs.</w:t>
      </w:r>
    </w:p>
    <w:p>
      <w:pPr>
        <w:pStyle w:val="BodyText"/>
      </w:pPr>
      <w:r>
        <w:rPr>
          <w:bCs/>
          <w:b/>
        </w:rPr>
        <w:t xml:space="preserve">1. Background.</w:t>
      </w:r>
      <w:r>
        <w:t xml:space="preserve"> </w:t>
      </w:r>
      <w:r>
        <w:t xml:space="preserve">Section 1687(b) of the National Defense Authorization Act for Fiscal Year 2024, Pub. L.</w:t>
      </w:r>
      <w:r>
        <w:t xml:space="preserve"> </w:t>
      </w:r>
      <w:r>
        <w:t xml:space="preserve">No. 118-31 (50 U.S.C. §3373 note), provides that</w:t>
      </w:r>
      <w:r>
        <w:t xml:space="preserve"> </w:t>
      </w:r>
      <w:r>
        <w:t xml:space="preserve">“</w:t>
      </w:r>
      <w:r>
        <w:t xml:space="preserve">independent research and development funding relating to</w:t>
      </w:r>
      <w:r>
        <w:t xml:space="preserve"> </w:t>
      </w:r>
      <w:r>
        <w:t xml:space="preserve">unidentified anomalous phenomena shall not be allowable as indirect expenses for purposes of contracts</w:t>
      </w:r>
      <w:r>
        <w:t xml:space="preserve"> </w:t>
      </w:r>
      <w:r>
        <w:t xml:space="preserve">covered by [DoD Instruction 3204.01], unless such material and information is made available [to] the</w:t>
      </w:r>
      <w:r>
        <w:t xml:space="preserve"> </w:t>
      </w:r>
      <w:r>
        <w:t xml:space="preserve">appropriate congressional committees and congressional leadership.</w:t>
      </w:r>
      <w:r>
        <w:t xml:space="preserve">”</w:t>
      </w:r>
    </w:p>
    <w:p>
      <w:pPr>
        <w:pStyle w:val="BodyText"/>
      </w:pPr>
      <w:r>
        <w:rPr>
          <w:bCs/>
          <w:b/>
        </w:rPr>
        <w:t xml:space="preserve">2. Facts.</w:t>
      </w:r>
      <w:r>
        <w:t xml:space="preserve"> </w:t>
      </w:r>
      <w:r>
        <w:t xml:space="preserve">[Describe, at an unclassified level, the IRAD project(s), the periods, the cost pools, the</w:t>
      </w:r>
      <w:r>
        <w:t xml:space="preserve"> </w:t>
      </w:r>
      <w:r>
        <w:t xml:space="preserve">amounts included in indirect cost submissions, and whether and when material and information were made</w:t>
      </w:r>
      <w:r>
        <w:t xml:space="preserve"> </w:t>
      </w:r>
      <w:r>
        <w:t xml:space="preserve">available to the committees and congressional leadership. Identify any classified addendum delivered</w:t>
      </w:r>
      <w:r>
        <w:t xml:space="preserve"> </w:t>
      </w:r>
      <w:r>
        <w:t xml:space="preserve">through security channels.]</w:t>
      </w:r>
    </w:p>
    <w:p>
      <w:pPr>
        <w:pStyle w:val="BodyText"/>
      </w:pPr>
      <w:r>
        <w:rPr>
          <w:bCs/>
          <w:b/>
        </w:rPr>
        <w:t xml:space="preserve">3. Assessment.</w:t>
      </w:r>
      <w:r>
        <w:t xml:space="preserve"> </w:t>
      </w:r>
      <w:r>
        <w:t xml:space="preserve">[Company] has determined that [amount] in IRAD costs incurred from [date] to [date] may not</w:t>
      </w:r>
      <w:r>
        <w:t xml:space="preserve"> </w:t>
      </w:r>
      <w:r>
        <w:t xml:space="preserve">have satisfied the condition in §1687(b) at the time they were included in [indirect cost rate proposals /</w:t>
      </w:r>
      <w:r>
        <w:t xml:space="preserve"> </w:t>
      </w:r>
      <w:r>
        <w:t xml:space="preserve">billings]. [Company] [does / does not] believe the circumstances amount to credible evidence of a violation</w:t>
      </w:r>
      <w:r>
        <w:t xml:space="preserve"> </w:t>
      </w:r>
      <w:r>
        <w:t xml:space="preserve">of the civil False Claims Act; it makes this disclosure [in compliance with FAR 52.203-13(b)(3)(i) / in the</w:t>
      </w:r>
      <w:r>
        <w:t xml:space="preserve"> </w:t>
      </w:r>
      <w:r>
        <w:t xml:space="preserve">interest of transparency].</w:t>
      </w:r>
    </w:p>
    <w:p>
      <w:pPr>
        <w:pStyle w:val="BodyText"/>
      </w:pPr>
      <w:r>
        <w:rPr>
          <w:bCs/>
          <w:b/>
        </w:rPr>
        <w:t xml:space="preserve">4. Corrective action.</w:t>
      </w:r>
      <w:r>
        <w:t xml:space="preserve"> </w:t>
      </w:r>
      <w:r>
        <w:t xml:space="preserve">[Company] has (a) removed the costs from [pools/proposals]; (b) calculated the</w:t>
      </w:r>
      <w:r>
        <w:t xml:space="preserve"> </w:t>
      </w:r>
      <w:r>
        <w:t xml:space="preserve">effect on billings at [amount] and proposes [credit/refund]; (c) [made / arranged to make] the material and</w:t>
      </w:r>
      <w:r>
        <w:t xml:space="preserve"> </w:t>
      </w:r>
      <w:r>
        <w:t xml:space="preserve">information available to the appropriate committees and congressional leadership on [date]; (d) adopted</w:t>
      </w:r>
      <w:r>
        <w:t xml:space="preserve"> </w:t>
      </w:r>
      <w:r>
        <w:t xml:space="preserve">procedures to identify UAP-related IRAD; and (e) preserved all related records, including records subject to</w:t>
      </w:r>
      <w:r>
        <w:t xml:space="preserve"> </w:t>
      </w:r>
      <w:r>
        <w:t xml:space="preserve">FY2024 NDAA §1842.</w:t>
      </w:r>
    </w:p>
    <w:p>
      <w:pPr>
        <w:pStyle w:val="BodyText"/>
      </w:pPr>
      <w:r>
        <w:rPr>
          <w:bCs/>
          <w:b/>
        </w:rPr>
        <w:t xml:space="preserve">5. Employee protections.</w:t>
      </w:r>
      <w:r>
        <w:t xml:space="preserve"> </w:t>
      </w:r>
      <w:r>
        <w:t xml:space="preserve">[Company] has advised its employees of their right to make authorized disclosures</w:t>
      </w:r>
      <w:r>
        <w:t xml:space="preserve"> </w:t>
      </w:r>
      <w:r>
        <w:t xml:space="preserve">to the All-domain Anomaly Resolution Office under 50 U.S.C. §3373b and of the prohibition on reprisal.</w:t>
      </w:r>
    </w:p>
    <w:p>
      <w:pPr>
        <w:pStyle w:val="BodyText"/>
      </w:pPr>
      <w:r>
        <w:rPr>
          <w:bCs/>
          <w:b/>
        </w:rPr>
        <w:t xml:space="preserve">6. Contact.</w:t>
      </w:r>
      <w:r>
        <w:t xml:space="preserve"> </w:t>
      </w:r>
      <w:r>
        <w:t xml:space="preserve">[Name, title, contact.]</w:t>
      </w:r>
    </w:p>
    <w:p>
      <w:pPr>
        <w:pStyle w:val="BodyText"/>
      </w:pPr>
      <w:r>
        <w:t xml:space="preserve">Sincerely,</w:t>
      </w:r>
      <w:r>
        <w:br/>
      </w:r>
      <w:r>
        <w:t xml:space="preserve">[Authorized officer]</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rPr>
          <w:bCs/>
          <w:b/>
        </w:rPr>
        <w:t xml:space="preserve">Scienter.</w:t>
      </w:r>
      <w:r>
        <w:t xml:space="preserve"> </w:t>
      </w:r>
      <w:r>
        <w:t xml:space="preserve">False Claims Act knowledge turns on what the company’s people actually knew and believed when the</w:t>
      </w:r>
      <w:r>
        <w:t xml:space="preserve"> </w:t>
      </w:r>
      <w:r>
        <w:t xml:space="preserve">claims were submitted.</w:t>
      </w:r>
      <w:r>
        <w:t xml:space="preserve"> </w:t>
      </w:r>
      <w:r>
        <w:rPr>
          <w:iCs/>
          <w:i/>
        </w:rPr>
        <w:t xml:space="preserve">United States ex rel. Schutte v. SuperValu Inc.</w:t>
      </w:r>
      <w:r>
        <w:t xml:space="preserve">, 598 U.S. 739 (2023). Interview the cost</w:t>
      </w:r>
      <w:r>
        <w:t xml:space="preserve"> </w:t>
      </w:r>
      <w:r>
        <w:t xml:space="preserve">accounting staff and the program personnel before deciding whether the facts are</w:t>
      </w:r>
      <w:r>
        <w:t xml:space="preserve"> </w:t>
      </w:r>
      <w:r>
        <w:t xml:space="preserve">“</w:t>
      </w:r>
      <w:r>
        <w:t xml:space="preserve">credible evidence</w:t>
      </w:r>
      <w:r>
        <w:t xml:space="preserve">”</w:t>
      </w:r>
      <w:r>
        <w:t xml:space="preserve">; an</w:t>
      </w:r>
      <w:r>
        <w:t xml:space="preserve"> </w:t>
      </w:r>
      <w:r>
        <w:t xml:space="preserve">arguable reading of §1687(b) adopted after the fact is no defense if the people who prepared the proposals knew of</w:t>
      </w:r>
      <w:r>
        <w:t xml:space="preserve"> </w:t>
      </w:r>
      <w:r>
        <w:t xml:space="preserve">the program and believed it had not been disclosed.</w:t>
      </w:r>
    </w:p>
    <w:p>
      <w:pPr>
        <w:pStyle w:val="Compact"/>
        <w:numPr>
          <w:ilvl w:val="0"/>
          <w:numId w:val="1001"/>
        </w:numPr>
      </w:pPr>
      <w:r>
        <w:rPr>
          <w:bCs/>
          <w:b/>
        </w:rPr>
        <w:t xml:space="preserve">Limitations.</w:t>
      </w:r>
      <w:r>
        <w:t xml:space="preserve"> </w:t>
      </w:r>
      <w:r>
        <w:t xml:space="preserve">An FCA action may be brought within six years after the violation, or within three years after</w:t>
      </w:r>
      <w:r>
        <w:t xml:space="preserve"> </w:t>
      </w:r>
      <w:r>
        <w:t xml:space="preserve">the responsible official knew or should have known the facts, but no more than ten years after the violation (31</w:t>
      </w:r>
      <w:r>
        <w:t xml:space="preserve"> </w:t>
      </w:r>
      <w:r>
        <w:t xml:space="preserve">U.S.C. §3731(b)). IRAD billed in fiscal year 2024 stays exposed until at least 2030.</w:t>
      </w:r>
    </w:p>
    <w:p>
      <w:pPr>
        <w:pStyle w:val="Compact"/>
        <w:numPr>
          <w:ilvl w:val="0"/>
          <w:numId w:val="1001"/>
        </w:numPr>
      </w:pPr>
      <w:r>
        <w:rPr>
          <w:bCs/>
          <w:b/>
        </w:rPr>
        <w:t xml:space="preserve">Timeliness of the disclosure.</w:t>
      </w:r>
      <w:r>
        <w:t xml:space="preserve"> </w:t>
      </w:r>
      <w:r>
        <w:t xml:space="preserve">FAR 52.203-13(b)(3)(i) requires</w:t>
      </w:r>
      <w:r>
        <w:t xml:space="preserve"> </w:t>
      </w:r>
      <w:r>
        <w:t xml:space="preserve">“</w:t>
      </w:r>
      <w:r>
        <w:t xml:space="preserve">timely</w:t>
      </w:r>
      <w:r>
        <w:t xml:space="preserve">”</w:t>
      </w:r>
      <w:r>
        <w:t xml:space="preserve"> </w:t>
      </w:r>
      <w:r>
        <w:t xml:space="preserve">written disclosure of credible evidence;</w:t>
      </w:r>
      <w:r>
        <w:t xml:space="preserve"> </w:t>
      </w:r>
      <w:r>
        <w:t xml:space="preserve">failure to disclose is itself a ground for suspension or debarment (FAR 9.406-2(b)(1)(vi), 9.407-2(a)(8)).</w:t>
      </w:r>
    </w:p>
    <w:p>
      <w:pPr>
        <w:pStyle w:val="Compact"/>
        <w:numPr>
          <w:ilvl w:val="0"/>
          <w:numId w:val="1001"/>
        </w:numPr>
      </w:pPr>
      <w:r>
        <w:rPr>
          <w:bCs/>
          <w:b/>
        </w:rPr>
        <w:t xml:space="preserve">Compartmented programs.</w:t>
      </w:r>
      <w:r>
        <w:t xml:space="preserve"> </w:t>
      </w:r>
      <w:r>
        <w:t xml:space="preserve">If the people who prepared indirect cost proposals were not read into the program,</w:t>
      </w:r>
      <w:r>
        <w:t xml:space="preserve"> </w:t>
      </w:r>
      <w:r>
        <w:t xml:space="preserve">say so and describe how the company will identify UAP-related IRAD going forward (paragraph 4(d)).</w:t>
      </w:r>
    </w:p>
    <w:p>
      <w:pPr>
        <w:pStyle w:val="Compact"/>
        <w:numPr>
          <w:ilvl w:val="0"/>
          <w:numId w:val="1001"/>
        </w:numPr>
      </w:pPr>
      <w:r>
        <w:t xml:space="preserve">Related:</w:t>
      </w:r>
      <w:r>
        <w:t xml:space="preserve"> </w:t>
      </w:r>
      <w:hyperlink r:id="rId20">
        <w:r>
          <w:rPr>
            <w:rStyle w:val="Hyperlink"/>
          </w:rPr>
          <w:t xml:space="preserve">Issue D2</w:t>
        </w:r>
      </w:hyperlink>
      <w:r>
        <w:t xml:space="preserve">, D3;</w:t>
      </w:r>
      <w:r>
        <w:t xml:space="preserve"> </w:t>
      </w:r>
      <w:hyperlink r:id="rId21">
        <w:r>
          <w:rPr>
            <w:rStyle w:val="Hyperlink"/>
          </w:rPr>
          <w:t xml:space="preserve">Form D1-1</w:t>
        </w:r>
      </w:hyperlink>
      <w:r>
        <w:t xml:space="preserve">.</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d1-1.html" TargetMode="External"/><Relationship Id="rId20" Type="http://schemas.openxmlformats.org/officeDocument/2006/relationships/hyperlink" Target="https://nhilaw.com/issues/d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d1-1.html" TargetMode="External"/><Relationship Id="rId20" Type="http://schemas.openxmlformats.org/officeDocument/2006/relationships/hyperlink" Target="https://nhilaw.com/issues/d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D2-1. Contractor Disclosure Letter Concerning UAP-Related IRAD Costs (FAR 52.203-13 and FY2024 NDAA §1687(b))</dc:title>
  <dc:creator>nhilaw.com</dc:creator>
  <cp:keywords/>
  <dcterms:created xsi:type="dcterms:W3CDTF">2026-10-19T03:13:26Z</dcterms:created>
  <dcterms:modified xsi:type="dcterms:W3CDTF">2026-10-19T03:13:26Z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