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4" w:name="Xec461f097e37e4fef02b9696ff0855434e71f27"/>
    <w:p>
      <w:pPr>
        <w:pStyle w:val="Heading1"/>
      </w:pPr>
      <w:r>
        <w:t xml:space="preserve">Form D3-1. Criminal Referral Letter Concerning Concealment of a UAP Program</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https://nhilaw.com/forms/d3-1.html</w:t>
      </w:r>
    </w:p>
    <w:p>
      <w:pPr>
        <w:pStyle w:val="BodyText"/>
        <w:spacing w:after="160" w:line="259" w:lineRule="auto"/>
      </w:pPr>
      <w:r>
        <w:rPr>
          <w:bCs/>
          <w:b/>
        </w:rPr>
        <w:t xml:space="preserve">When to use.</w:t>
      </w:r>
      <w:r>
        <w:t xml:space="preserve"> </w:t>
      </w:r>
      <w:r>
        <w:t xml:space="preserve">Committee counsel or a whistleblower’s counsel referring possible crimes of concealment to DOJ.</w:t>
      </w:r>
      <w:r>
        <w:t xml:space="preserve"> </w:t>
      </w:r>
      <w:r>
        <w:rPr>
          <w:bCs/>
          <w:b/>
        </w:rPr>
        <w:t xml:space="preserve">Not for:</w:t>
      </w:r>
      <w:r>
        <w:t xml:space="preserve"> </w:t>
      </w:r>
      <w:r>
        <w:t xml:space="preserve">Reprisal complaints (</w:t>
      </w:r>
      <w:hyperlink r:id="rId20">
        <w:r>
          <w:rPr>
            <w:rStyle w:val="Hyperlink"/>
          </w:rPr>
          <w:t xml:space="preserve">Form C1-2</w:t>
        </w:r>
      </w:hyperlink>
      <w:r>
        <w:t xml:space="preserve">) or matters that rest only on belief.</w:t>
      </w:r>
    </w:p>
    <w:p>
      <w:pPr>
        <w:pStyle w:val="BodyText"/>
        <w:spacing w:after="160" w:line="259" w:lineRule="auto"/>
      </w:pPr>
      <w:r>
        <w:rPr>
          <w:bCs/>
          <w:b/>
        </w:rPr>
        <w:t xml:space="preserve">Deadlines.</w:t>
      </w:r>
      <w:r>
        <w:t xml:space="preserve"> </w:t>
      </w:r>
      <w:r>
        <w:t xml:space="preserve">Five-year limitations period for most offenses (18 U.S.C. §3282); seven years for major fraud (§1031(f)).</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pStyle w:val="BodyText"/>
      </w:pPr>
      <w:r>
        <w:t xml:space="preserve">[Letterhead]</w:t>
      </w:r>
    </w:p>
    <w:p>
      <w:pPr>
        <w:pStyle w:val="BodyText"/>
      </w:pPr>
      <w:r>
        <w:t xml:space="preserve">[Date]</w:t>
      </w:r>
    </w:p>
    <w:p>
      <w:pPr>
        <w:pStyle w:val="BodyText"/>
      </w:pPr>
      <w:r>
        <w:t xml:space="preserve">The Honorable [Attorney General]</w:t>
      </w:r>
      <w:r>
        <w:br/>
      </w:r>
      <w:r>
        <w:t xml:space="preserve">U.S. Department of Justice</w:t>
      </w:r>
      <w:r>
        <w:br/>
      </w:r>
      <w:r>
        <w:t xml:space="preserve">950 Pennsylvania Avenue NW, Washington, DC 20530</w:t>
      </w:r>
    </w:p>
    <w:p>
      <w:pPr>
        <w:pStyle w:val="BodyText"/>
      </w:pPr>
      <w:r>
        <w:t xml:space="preserve">cc: Assistant Attorney General, National Security Division; [Inspector General]; [Chair and Ranking Member,</w:t>
      </w:r>
      <w:r>
        <w:br/>
      </w:r>
      <w:r>
        <w:t xml:space="preserve">relevant committees]</w:t>
      </w:r>
    </w:p>
    <w:p>
      <w:pPr>
        <w:pStyle w:val="BodyText"/>
      </w:pPr>
      <w:r>
        <w:rPr>
          <w:bCs/>
          <w:b/>
        </w:rPr>
        <w:t xml:space="preserve">Re: Referral of possible violations of 18 U.S.C. §§1001, 1505, 371, 1031, 1513(e), 1519, and 2071 in</w:t>
      </w:r>
      <w:r>
        <w:rPr>
          <w:bCs/>
          <w:b/>
        </w:rPr>
        <w:t xml:space="preserve"> </w:t>
      </w:r>
      <w:r>
        <w:rPr>
          <w:bCs/>
          <w:b/>
        </w:rPr>
        <w:t xml:space="preserve">connection with a program relating to unidentified anomalous phenomena</w:t>
      </w:r>
    </w:p>
    <w:p>
      <w:pPr>
        <w:pStyle w:val="BodyText"/>
      </w:pPr>
      <w:r>
        <w:t xml:space="preserve">Dear Attorney General [Name]:</w:t>
      </w:r>
    </w:p>
    <w:p>
      <w:pPr>
        <w:pStyle w:val="BodyText"/>
      </w:pPr>
      <w:r>
        <w:t xml:space="preserve">[The Committee / My client, (description),] refers for investigation the following information indicating</w:t>
      </w:r>
      <w:r>
        <w:t xml:space="preserve"> </w:t>
      </w:r>
      <w:r>
        <w:t xml:space="preserve">possible federal crimes.</w:t>
      </w:r>
    </w:p>
    <w:p>
      <w:pPr>
        <w:pStyle w:val="BodyText"/>
      </w:pPr>
      <w:r>
        <w:rPr>
          <w:bCs/>
          <w:b/>
        </w:rPr>
        <w:t xml:space="preserve">1. Summary.</w:t>
      </w:r>
      <w:r>
        <w:t xml:space="preserve"> </w:t>
      </w:r>
      <w:r>
        <w:t xml:space="preserve">Information available to [the Committee / my client] indicates that [identified persons /</w:t>
      </w:r>
      <w:r>
        <w:t xml:space="preserve"> </w:t>
      </w:r>
      <w:r>
        <w:t xml:space="preserve">persons associated with (program or office)] (a) [made false statements to the Committee on (date) during</w:t>
      </w:r>
      <w:r>
        <w:t xml:space="preserve"> </w:t>
      </w:r>
      <w:r>
        <w:t xml:space="preserve">(hearing or committee inquiry)]; (b) [concealed from the congressional defense and intelligence committees a</w:t>
      </w:r>
      <w:r>
        <w:t xml:space="preserve"> </w:t>
      </w:r>
      <w:r>
        <w:t xml:space="preserve">special access program relating to unidentified anomalous phenomena, which by law could not be initiated</w:t>
      </w:r>
      <w:r>
        <w:t xml:space="preserve"> </w:t>
      </w:r>
      <w:r>
        <w:t xml:space="preserve">without notice to those committees, 10 U.S.C. §119(f)]; (c) [destroyed or concealed records required to be</w:t>
      </w:r>
      <w:r>
        <w:t xml:space="preserve"> </w:t>
      </w:r>
      <w:r>
        <w:t xml:space="preserve">preserved under Pub. L. No. 118-31, §1842(a)(2)(A)]; and (d) [took adverse actions against (client/witness)</w:t>
      </w:r>
      <w:r>
        <w:t xml:space="preserve"> </w:t>
      </w:r>
      <w:r>
        <w:t xml:space="preserve">after (he/she/they) provided information about these matters to (IG/FBI/AARO)].</w:t>
      </w:r>
    </w:p>
    <w:p>
      <w:pPr>
        <w:pStyle w:val="BodyText"/>
      </w:pPr>
      <w:r>
        <w:rPr>
          <w:bCs/>
          <w:b/>
        </w:rPr>
        <w:t xml:space="preserve">2. Statements to Congress.</w:t>
      </w:r>
      <w:r>
        <w:t xml:space="preserve"> </w:t>
      </w:r>
      <w:r>
        <w:t xml:space="preserve">On [date], [person] testified [under oath] before [committee] that [quote</w:t>
      </w:r>
      <w:r>
        <w:t xml:space="preserve"> </w:t>
      </w:r>
      <w:r>
        <w:t xml:space="preserve">exact words with transcript citation]. [Explain why the statement was false and material, citing</w:t>
      </w:r>
      <w:r>
        <w:t xml:space="preserve"> </w:t>
      </w:r>
      <w:r>
        <w:t xml:space="preserve">unclassified evidence; note classified evidence available.] See 18 U.S.C. §1001(c)(2);</w:t>
      </w:r>
      <w:r>
        <w:t xml:space="preserve"> </w:t>
      </w:r>
      <w:r>
        <w:rPr>
          <w:iCs/>
          <w:i/>
        </w:rPr>
        <w:t xml:space="preserve">United States v.</w:t>
      </w:r>
      <w:r>
        <w:rPr>
          <w:iCs/>
          <w:i/>
        </w:rPr>
        <w:t xml:space="preserve"> </w:t>
      </w:r>
      <w:r>
        <w:rPr>
          <w:iCs/>
          <w:i/>
        </w:rPr>
        <w:t xml:space="preserve">Bowser</w:t>
      </w:r>
      <w:r>
        <w:t xml:space="preserve">, 964 F.3d 26 (D.C. Cir. 2020).</w:t>
      </w:r>
    </w:p>
    <w:p>
      <w:pPr>
        <w:pStyle w:val="BodyText"/>
      </w:pPr>
      <w:r>
        <w:rPr>
          <w:bCs/>
          <w:b/>
        </w:rPr>
        <w:t xml:space="preserve">2A. Reports required by law.</w:t>
      </w:r>
      <w:r>
        <w:t xml:space="preserve"> </w:t>
      </w:r>
      <w:r>
        <w:t xml:space="preserve">[If applicable:] Statements in [a report submitted to Congress under 50 U.S.C.</w:t>
      </w:r>
      <w:r>
        <w:t xml:space="preserve"> </w:t>
      </w:r>
      <w:r>
        <w:t xml:space="preserve">§3373 / (other statute)] dated [date] stated that [quote]. [Explain why the statement was false and material.] A</w:t>
      </w:r>
      <w:r>
        <w:t xml:space="preserve"> </w:t>
      </w:r>
      <w:r>
        <w:t xml:space="preserve">false statement in</w:t>
      </w:r>
      <w:r>
        <w:t xml:space="preserve"> </w:t>
      </w:r>
      <w:r>
        <w:t xml:space="preserve">“</w:t>
      </w:r>
      <w:r>
        <w:t xml:space="preserve">a document required by law, rule, or regulation to be submitted to the Congress</w:t>
      </w:r>
      <w:r>
        <w:t xml:space="preserve">”</w:t>
      </w:r>
      <w:r>
        <w:t xml:space="preserve"> </w:t>
      </w:r>
      <w:r>
        <w:t xml:space="preserve">is within 18</w:t>
      </w:r>
      <w:r>
        <w:t xml:space="preserve"> </w:t>
      </w:r>
      <w:r>
        <w:t xml:space="preserve">U.S.C. §1001(c)(1). We ask that the Department identify the persons responsible for preparing and approving the</w:t>
      </w:r>
      <w:r>
        <w:t xml:space="preserve"> </w:t>
      </w:r>
      <w:r>
        <w:t xml:space="preserve">statement.</w:t>
      </w:r>
    </w:p>
    <w:p>
      <w:pPr>
        <w:pStyle w:val="BodyText"/>
      </w:pPr>
      <w:r>
        <w:rPr>
          <w:bCs/>
          <w:b/>
        </w:rPr>
        <w:t xml:space="preserve">3. Concealment.</w:t>
      </w:r>
      <w:r>
        <w:t xml:space="preserve"> </w:t>
      </w:r>
      <w:r>
        <w:t xml:space="preserve">[Facts.] Concealment of activities from Congress in violation of reporting and funding</w:t>
      </w:r>
      <w:r>
        <w:t xml:space="preserve"> </w:t>
      </w:r>
      <w:r>
        <w:t xml:space="preserve">statutes may constitute a conspiracy to defraud the United States. 18 U.S.C. §371;</w:t>
      </w:r>
      <w:r>
        <w:t xml:space="preserve"> </w:t>
      </w:r>
      <w:r>
        <w:rPr>
          <w:iCs/>
          <w:i/>
        </w:rPr>
        <w:t xml:space="preserve">United States v. North</w:t>
      </w:r>
      <w:r>
        <w:t xml:space="preserve">,</w:t>
      </w:r>
      <w:r>
        <w:t xml:space="preserve"> </w:t>
      </w:r>
      <w:r>
        <w:t xml:space="preserve">708 F. Supp. 375 (D.D.C. 1988). [If a contractor obtained a contract or modification of $1,000,000 or more</w:t>
      </w:r>
      <w:r>
        <w:t xml:space="preserve"> </w:t>
      </w:r>
      <w:r>
        <w:t xml:space="preserve">through the scheme:] The conduct may also constitute major fraud against the United States, 18 U.S.C. §1031, which</w:t>
      </w:r>
      <w:r>
        <w:t xml:space="preserve"> </w:t>
      </w:r>
      <w:r>
        <w:t xml:space="preserve">carries a seven-year limitations period (§1031(f)).</w:t>
      </w:r>
    </w:p>
    <w:p>
      <w:pPr>
        <w:pStyle w:val="BodyText"/>
      </w:pPr>
      <w:r>
        <w:rPr>
          <w:bCs/>
          <w:b/>
        </w:rPr>
        <w:t xml:space="preserve">3A. Knowledge and concealment of these offenses.</w:t>
      </w:r>
      <w:r>
        <w:t xml:space="preserve"> </w:t>
      </w:r>
      <w:r>
        <w:t xml:space="preserve">[If applicable:] [Persons] who knew of these acts took</w:t>
      </w:r>
      <w:r>
        <w:t xml:space="preserve"> </w:t>
      </w:r>
      <w:r>
        <w:t xml:space="preserve">affirmative steps to conceal them, including [facts]. See 18 U.S.C. §4 (misprision of felony).</w:t>
      </w:r>
    </w:p>
    <w:p>
      <w:pPr>
        <w:pStyle w:val="BodyText"/>
      </w:pPr>
      <w:r>
        <w:rPr>
          <w:bCs/>
          <w:b/>
        </w:rPr>
        <w:t xml:space="preserve">4. Records.</w:t>
      </w:r>
      <w:r>
        <w:t xml:space="preserve"> </w:t>
      </w:r>
      <w:r>
        <w:t xml:space="preserve">[Facts.] See 18 U.S.C. §§1519, 2071.</w:t>
      </w:r>
    </w:p>
    <w:p>
      <w:pPr>
        <w:pStyle w:val="BodyText"/>
      </w:pPr>
      <w:r>
        <w:rPr>
          <w:bCs/>
          <w:b/>
        </w:rPr>
        <w:t xml:space="preserve">5. Retaliation.</w:t>
      </w:r>
      <w:r>
        <w:t xml:space="preserve"> </w:t>
      </w:r>
      <w:r>
        <w:t xml:space="preserve">[Facts, dates, and adverse actions.] See 18 U.S.C. §1513(e); 50 U.S.C. §3373b(b)(2).</w:t>
      </w:r>
    </w:p>
    <w:p>
      <w:pPr>
        <w:pStyle w:val="BodyText"/>
      </w:pPr>
      <w:r>
        <w:rPr>
          <w:bCs/>
          <w:b/>
        </w:rPr>
        <w:t xml:space="preserve">6. Limitations.</w:t>
      </w:r>
      <w:r>
        <w:t xml:space="preserve"> </w:t>
      </w:r>
      <w:r>
        <w:t xml:space="preserve">Several of the acts described occurred on or after [date]. [Identify the earliest</w:t>
      </w:r>
      <w:r>
        <w:t xml:space="preserve"> </w:t>
      </w:r>
      <w:r>
        <w:t xml:space="preserve">act potentially outside 18 U.S.C. §3282 and any basis for a later accrual date.] We ask that the Department</w:t>
      </w:r>
      <w:r>
        <w:t xml:space="preserve"> </w:t>
      </w:r>
      <w:r>
        <w:t xml:space="preserve">act promptly in light of the limitations period.</w:t>
      </w:r>
    </w:p>
    <w:p>
      <w:pPr>
        <w:pStyle w:val="BodyText"/>
      </w:pPr>
      <w:r>
        <w:rPr>
          <w:bCs/>
          <w:b/>
        </w:rPr>
        <w:t xml:space="preserve">7. Classified information.</w:t>
      </w:r>
      <w:r>
        <w:t xml:space="preserve"> </w:t>
      </w:r>
      <w:r>
        <w:t xml:space="preserve">Supporting classified information is available through [secure channel]. We</w:t>
      </w:r>
      <w:r>
        <w:t xml:space="preserve"> </w:t>
      </w:r>
      <w:r>
        <w:t xml:space="preserve">ask that the Department coordinate with [committee security / the agency security office] to arrange</w:t>
      </w:r>
      <w:r>
        <w:t xml:space="preserve"> </w:t>
      </w:r>
      <w:r>
        <w:t xml:space="preserve">access.</w:t>
      </w:r>
    </w:p>
    <w:p>
      <w:pPr>
        <w:pStyle w:val="BodyText"/>
      </w:pPr>
      <w:r>
        <w:rPr>
          <w:bCs/>
          <w:b/>
        </w:rPr>
        <w:t xml:space="preserve">8. Preservation.</w:t>
      </w:r>
      <w:r>
        <w:t xml:space="preserve"> </w:t>
      </w:r>
      <w:r>
        <w:t xml:space="preserve">We ask that the Department take steps to preserve evidence, including by notifying the</w:t>
      </w:r>
      <w:r>
        <w:t xml:space="preserve"> </w:t>
      </w:r>
      <w:r>
        <w:t xml:space="preserve">relevant agencies and contractors of their preservation obligations.</w:t>
      </w:r>
    </w:p>
    <w:p>
      <w:pPr>
        <w:pStyle w:val="BodyText"/>
      </w:pPr>
      <w:r>
        <w:rPr>
          <w:bCs/>
          <w:b/>
        </w:rPr>
        <w:t xml:space="preserve">9. Special counsel.</w:t>
      </w:r>
      <w:r>
        <w:t xml:space="preserve"> </w:t>
      </w:r>
      <w:r>
        <w:t xml:space="preserve">[Optional:] Because the conduct described involves [several agencies / former officials of</w:t>
      </w:r>
      <w:r>
        <w:t xml:space="preserve"> </w:t>
      </w:r>
      <w:r>
        <w:t xml:space="preserve">the Department / programs whose existence the Department may itself have been asked to protect], we ask that the</w:t>
      </w:r>
      <w:r>
        <w:t xml:space="preserve"> </w:t>
      </w:r>
      <w:r>
        <w:t xml:space="preserve">Attorney General consider whether investigation by the Department would present a conflict of interest or other</w:t>
      </w:r>
      <w:r>
        <w:t xml:space="preserve"> </w:t>
      </w:r>
      <w:r>
        <w:t xml:space="preserve">extraordinary circumstances, and if so appoint a special counsel. 28 C.F.R. §600.1.</w:t>
      </w:r>
    </w:p>
    <w:p>
      <w:pPr>
        <w:pStyle w:val="BodyText"/>
      </w:pPr>
      <w:r>
        <w:t xml:space="preserve">[The Committee / My client] is prepared to provide further information and testimony.</w:t>
      </w:r>
    </w:p>
    <w:p>
      <w:pPr>
        <w:pStyle w:val="BodyText"/>
        <w:spacing w:lineRule="exact" w:line="40" w:before="0" w:after="0"/>
        <w:sectPr>
          <w:headerReference w:type="default" r:id="rId11"/>
          <w:footerReference w:type="default" r:id="rId12"/>
          <w:headerReference w:type="first" r:id="rId14"/>
          <w:footerReference w:type="first" r:id="rId13"/>
          <w:pgSz w:h="15840" w:w="12240"/>
          <w:pgMar w:bottom="1440" w:left="1440" w:right="1440" w:top="1440" w:header="720" w:footer="576"/>
          <w:pgNumType w:start="1"/>
          <w:titlePg/>
        </w:sectPr>
      </w:pPr>
    </w:p>
    <w:bookmarkStart w:id="23" w:name="drafting-notes"/>
    <w:p>
      <w:pPr>
        <w:pStyle w:val="Heading2"/>
      </w:pPr>
      <w:r>
        <w:t xml:space="preserve">Drafting notes</w:t>
      </w:r>
    </w:p>
    <w:p>
      <w:pPr>
        <w:pStyle w:val="Compact"/>
        <w:numPr>
          <w:ilvl w:val="0"/>
          <w:numId w:val="1001"/>
        </w:numPr>
      </w:pPr>
      <w:r>
        <w:rPr>
          <w:bCs/>
          <w:b/>
        </w:rPr>
        <w:t xml:space="preserve">Reports by AARO.</w:t>
      </w:r>
      <w:r>
        <w:t xml:space="preserve"> </w:t>
      </w:r>
      <w:r>
        <w:t xml:space="preserve">The site’s working premise is that AARO is a source of deliberate disinformation (Issue</w:t>
      </w:r>
      <w:r>
        <w:t xml:space="preserve"> </w:t>
      </w:r>
      <w:r>
        <w:t xml:space="preserve">F4 §2A). Paragraph 2A is the vehicle for that premise in a referral, but it must rest on specific statements that</w:t>
      </w:r>
      <w:r>
        <w:t xml:space="preserve"> </w:t>
      </w:r>
      <w:r>
        <w:t xml:space="preserve">can be shown false with evidence, and it should ask the Department to identify responsible persons. Do not name</w:t>
      </w:r>
      <w:r>
        <w:t xml:space="preserve"> </w:t>
      </w:r>
      <w:r>
        <w:t xml:space="preserve">individual AARO officials in an unclassified referral without strong documentary support (</w:t>
      </w:r>
      <w:hyperlink r:id="rId21">
        <w:r>
          <w:rPr>
            <w:rStyle w:val="Hyperlink"/>
          </w:rPr>
          <w:t xml:space="preserve">Issue G1</w:t>
        </w:r>
      </w:hyperlink>
      <w:r>
        <w:t xml:space="preserve">).</w:t>
      </w:r>
    </w:p>
    <w:p>
      <w:pPr>
        <w:pStyle w:val="Compact"/>
        <w:numPr>
          <w:ilvl w:val="0"/>
          <w:numId w:val="1001"/>
        </w:numPr>
      </w:pPr>
      <w:r>
        <w:rPr>
          <w:bCs/>
          <w:b/>
        </w:rPr>
        <w:t xml:space="preserve">Misprision</w:t>
      </w:r>
      <w:r>
        <w:t xml:space="preserve"> </w:t>
      </w:r>
      <w:r>
        <w:t xml:space="preserve">requires an affirmative act of concealment; silence alone is not enough.</w:t>
      </w:r>
    </w:p>
    <w:p>
      <w:pPr>
        <w:pStyle w:val="Compact"/>
        <w:numPr>
          <w:ilvl w:val="0"/>
          <w:numId w:val="1001"/>
        </w:numPr>
      </w:pPr>
      <w:r>
        <w:rPr>
          <w:bCs/>
          <w:b/>
        </w:rPr>
        <w:t xml:space="preserve">Limitations.</w:t>
      </w:r>
      <w:r>
        <w:t xml:space="preserve"> </w:t>
      </w:r>
      <w:r>
        <w:t xml:space="preserve">Five years for most offenses (18 U.S.C. §3282); seven for major fraud (§1031(f)). Identify</w:t>
      </w:r>
      <w:r>
        <w:t xml:space="preserve"> </w:t>
      </w:r>
      <w:r>
        <w:t xml:space="preserve">continuing conduct and the most recent overt act.</w:t>
      </w:r>
    </w:p>
    <w:p>
      <w:pPr>
        <w:pStyle w:val="Compact"/>
        <w:numPr>
          <w:ilvl w:val="0"/>
          <w:numId w:val="1001"/>
        </w:numPr>
      </w:pPr>
      <w:r>
        <w:rPr>
          <w:bCs/>
          <w:b/>
        </w:rPr>
        <w:t xml:space="preserve">A referral is public once sent to a committee.</w:t>
      </w:r>
      <w:r>
        <w:t xml:space="preserve"> </w:t>
      </w:r>
      <w:r>
        <w:t xml:space="preserve">Keep it to facts that can be defended in a defamation suit.</w:t>
      </w:r>
    </w:p>
    <w:p>
      <w:pPr>
        <w:pStyle w:val="Compact"/>
        <w:numPr>
          <w:ilvl w:val="0"/>
          <w:numId w:val="1001"/>
        </w:numPr>
      </w:pPr>
      <w:r>
        <w:t xml:space="preserve">Related:</w:t>
      </w:r>
      <w:r>
        <w:t xml:space="preserve"> </w:t>
      </w:r>
      <w:hyperlink r:id="rId22">
        <w:r>
          <w:rPr>
            <w:rStyle w:val="Hyperlink"/>
          </w:rPr>
          <w:t xml:space="preserve">Issue D3</w:t>
        </w:r>
      </w:hyperlink>
      <w:r>
        <w:t xml:space="preserve">, D1, G1; Forms D1-1, C1-2.</w:t>
      </w:r>
    </w:p>
    <w:p>
      <w:pPr>
        <w:pStyle w:val="FirstParagraph"/>
      </w:pPr>
      <w:r>
        <w:t xml:space="preserve">Sincerely,</w:t>
      </w:r>
      <w:r>
        <w:t xml:space="preserve"> </w:t>
      </w:r>
      <w:r>
        <w:t xml:space="preserve">[Name]</w:t>
      </w:r>
    </w:p>
    <w:bookmarkEnd w:id="23"/>
    <w:bookmarkEnd w:id="24"/>
    <w:sectPr>
      <w:headerReference w:type="default" r:id="rId15"/>
      <w:footerReference w:type="default" r:id="rId16"/>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mbria" w:hAnsi="Cambria" w:cs="Cambria" w:eastAsia="Cambria"/>
        <w:sz w:val="18"/>
      </w:rPr>
      <w:t xml:space="preserve">Page </w:t>
    </w:r>
    <w:r>
      <w:rPr>
        <w:rFonts w:ascii="Cambria" w:hAnsi="Cambria" w:cs="Cambria" w:eastAsia="Cambria"/>
        <w:sz w:val="18"/>
      </w:rPr>
      <w:fldChar w:fldCharType="begin"/>
    </w:r>
    <w:r>
      <w:rPr>
        <w:rFonts w:ascii="Cambria" w:hAnsi="Cambria" w:cs="Cambria" w:eastAsia="Cambria"/>
        <w:sz w:val="18"/>
      </w:rPr>
      <w:instrText xml:space="preserve"> PAGE </w:instrText>
    </w:r>
    <w:r>
      <w:rPr>
        <w:rFonts w:ascii="Cambria" w:hAnsi="Cambria" w:cs="Cambria" w:eastAsia="Cambria"/>
        <w:sz w:val="18"/>
      </w:rPr>
      <w:fldChar w:fldCharType="separate"/>
    </w:r>
    <w:r>
      <w:rPr>
        <w:rFonts w:ascii="Cambria" w:hAnsi="Cambria" w:cs="Cambria" w:eastAsia="Cambria"/>
        <w:sz w:val="18"/>
      </w:rPr>
      <w:t>1</w:t>
    </w:r>
    <w:r>
      <w:rPr>
        <w:rFonts w:ascii="Cambria" w:hAnsi="Cambria" w:cs="Cambria" w:eastAsia="Cambria"/>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hyperlink" Target="https://nhilaw.com/forms/c1-2.html" TargetMode="External"/><Relationship Id="rId22" Type="http://schemas.openxmlformats.org/officeDocument/2006/relationships/hyperlink" Target="https://nhilaw.com/issues/d3.html" TargetMode="External"/><Relationship Id="rId21" Type="http://schemas.openxmlformats.org/officeDocument/2006/relationships/hyperlink" Target="https://nhilaw.com/issues/g1.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3.xml"/><Relationship Id="rId15" Type="http://schemas.openxmlformats.org/officeDocument/2006/relationships/header" Target="header4.xml"/><Relationship Id="rId16" Type="http://schemas.openxmlformats.org/officeDocument/2006/relationships/footer" Target="footer4.xml"/></Relationships>
</file>

<file path=word/_rels/footnotes.xml.rels><?xml version='1.0' encoding='UTF-8' standalone='yes'?>
<Relationships xmlns="http://schemas.openxmlformats.org/package/2006/relationships"><Relationship Id="rId20" Type="http://schemas.openxmlformats.org/officeDocument/2006/relationships/hyperlink" Target="https://nhilaw.com/forms/c1-2.html" TargetMode="External"/><Relationship Id="rId22" Type="http://schemas.openxmlformats.org/officeDocument/2006/relationships/hyperlink" Target="https://nhilaw.com/issues/d3.html" TargetMode="External"/><Relationship Id="rId21" Type="http://schemas.openxmlformats.org/officeDocument/2006/relationships/hyperlink" Target="https://nhilaw.com/issues/g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D3-1. Criminal Referral Letter Concerning Concealment of a UAP Program</dc:title>
  <dc:creator>nhilaw.com</dc:creator>
  <cp:keywords/>
  <dcterms:created xsi:type="dcterms:W3CDTF">2026-10-19T03:13:33Z</dcterms:created>
  <dcterms:modified xsi:type="dcterms:W3CDTF">2026-10-19T03:13:33Z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