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Criminal Liability for Concealment of UAP Programs: False Statements, Obstruction, Retaliation, and Limitations</w:t>
      </w:r>
    </w:p>
    <w:p>
      <w:pPr>
        <w:pStyle w:val="Subtitle"/>
      </w:pPr>
      <w:r>
        <w:t xml:space="preserve">Version 1.10 · October 2026 · nhilaw.com/issues/d3.html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Premise.</w:t>
      </w:r>
      <w:r>
        <w:t xml:space="preserve"> </w:t>
      </w:r>
      <w:r>
        <w:t xml:space="preserve">Insiders have alleged that officials and contractors concealed UAP programs from Congress,</w:t>
      </w:r>
      <w:r>
        <w:t xml:space="preserve"> </w:t>
      </w:r>
      <w:r>
        <w:t xml:space="preserve">misled investigators and inspectors general, destroyed or hid records, threatened or retaliated against</w:t>
      </w:r>
      <w:r>
        <w:t xml:space="preserve"> </w:t>
      </w:r>
      <w:r>
        <w:t xml:space="preserve">witnesses, and in some accounts harmed people to protect secrecy. This analysis maps those allegations to</w:t>
      </w:r>
      <w:r>
        <w:t xml:space="preserve"> </w:t>
      </w:r>
      <w:r>
        <w:t xml:space="preserve">federal criminal statutes and examines the obstacles: proof, classified evidence, authorization defenses,</w:t>
      </w:r>
      <w:r>
        <w:t xml:space="preserve"> </w:t>
      </w:r>
      <w:r>
        <w:t xml:space="preserve">immunity, and limitations periods.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False statements to Congress are reachable when made in a committee investigation or review (§1001(c)(2)) or in a document the law requires to be submitted to Congress (§1001(c)(1)), which includes AARO’s statutory reports.</w:t>
      </w:r>
    </w:p>
    <w:p>
      <w:pPr>
        <w:pStyle w:val="Compact"/>
        <w:numPr>
          <w:ilvl w:val="0"/>
          <w:numId w:val="1001"/>
        </w:numPr>
      </w:pPr>
      <w:r>
        <w:t xml:space="preserve">Concealing programs to evade reporting or funding statutes can be a conspiracy to defraud the United States (§371;</w:t>
      </w:r>
      <w:r>
        <w:t xml:space="preserve"> </w:t>
      </w:r>
      <w:r>
        <w:rPr>
          <w:iCs/>
          <w:i/>
        </w:rPr>
        <w:t xml:space="preserve">North</w:t>
      </w:r>
      <w:r>
        <w:t xml:space="preserve">); contractor fraud on large contracts carries a seven-year limitations period (§1031(f)).</w:t>
      </w:r>
    </w:p>
    <w:p>
      <w:pPr>
        <w:pStyle w:val="Compact"/>
        <w:numPr>
          <w:ilvl w:val="0"/>
          <w:numId w:val="1001"/>
        </w:numPr>
      </w:pPr>
      <w:r>
        <w:t xml:space="preserve">Records destruction (§§1519, 2071) and retaliation against people who report federal crimes to law enforcement (§1513(e)) are felonies; report to an inspector general or the FBI, since AARO is not a law enforcement agency.</w:t>
      </w:r>
    </w:p>
    <w:p>
      <w:pPr>
        <w:pStyle w:val="Compact"/>
        <w:numPr>
          <w:ilvl w:val="0"/>
          <w:numId w:val="1001"/>
        </w:numPr>
      </w:pPr>
      <w:r>
        <w:t xml:space="preserve">The general limitations period is five years; murder and capital war crimes have none, and the Wartime Suspension of Limitations Act applies only to pecuniary fraud.</w:t>
      </w:r>
    </w:p>
    <w:p>
      <w:pPr>
        <w:pStyle w:val="Compact"/>
        <w:numPr>
          <w:ilvl w:val="0"/>
          <w:numId w:val="1001"/>
        </w:numPr>
      </w:pPr>
      <w:r>
        <w:t xml:space="preserve">The open hearings with AARO directors in 2023 and 2024 were unsworn, so perjury does not apply; §1001 does.</w:t>
      </w:r>
    </w:p>
    <w:p>
      <w:r>
        <w:pict>
          <v:rect style="width:0;height:1.5pt" o:hralign="center" o:hrstd="t" o:hr="t"/>
        </w:pict>
      </w:r>
    </w:p>
    <w:bookmarkEnd w:id="21"/>
    <w:bookmarkStart w:id="25" w:name="summary"/>
    <w:p>
      <w:pPr>
        <w:pStyle w:val="Heading2"/>
      </w:pPr>
      <w:r>
        <w:t xml:space="preserve">1. Summary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Alleged conduct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statutes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Lying to or concealing from Congress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U.S.C. §1001 (as limited by §1001(c)); §1505 (obstruction of congressional inquiry); §1621 (perjury)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§1001(c)(1) reaches any</w:t>
            </w:r>
            <w:r>
              <w:t xml:space="preserve"> </w:t>
            </w:r>
            <w:r>
              <w:t xml:space="preserve">“</w:t>
            </w:r>
            <w:r>
              <w:t xml:space="preserve">document required by law … to be submitted to the Congress,</w:t>
            </w:r>
            <w:r>
              <w:t xml:space="preserve">”</w:t>
            </w:r>
            <w:r>
              <w:t xml:space="preserve"> </w:t>
            </w:r>
            <w:r>
              <w:t xml:space="preserve">including AARO’s statutory reports; §1001(c)(2) reaches statements in</w:t>
            </w:r>
            <w:r>
              <w:t xml:space="preserve"> </w:t>
            </w:r>
            <w:r>
              <w:t xml:space="preserve">“</w:t>
            </w:r>
            <w:r>
              <w:t xml:space="preserve">any investigation or review, conducted pursuant to the authority of any committee</w:t>
            </w:r>
            <w:r>
              <w:t xml:space="preserve">”</w:t>
            </w:r>
            <w:r>
              <w:t xml:space="preserve">;</w:t>
            </w:r>
            <w:r>
              <w:t xml:space="preserve"> </w:t>
            </w:r>
            <w:r>
              <w:rPr>
                <w:iCs/>
                <w:i/>
              </w:rPr>
              <w:t xml:space="preserve">United States v. Bowser</w:t>
            </w:r>
            <w:r>
              <w:t xml:space="preserve">, 964 F.3d 26 (D.C. Cir. 2020);</w:t>
            </w:r>
            <w:r>
              <w:t xml:space="preserve"> </w:t>
            </w:r>
            <w:r>
              <w:rPr>
                <w:iCs/>
                <w:i/>
              </w:rPr>
              <w:t xml:space="preserve">United States v. Stone</w:t>
            </w:r>
            <w:r>
              <w:t xml:space="preserve">, 394 F. Supp. 3d 1 (D.D.C. 2019)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Defrauding the United States in a large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U.S.C. §1031 (major fraud, contracts of $1 million or more)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Seven-year limitations period (§1031(f))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Knowing of a felony and concealing 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U.S.C. §4 (misprision)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Requires an affirmative act of concealment, not mere silence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Lying to investigators, IGs, AARO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§1001(a); §1505 (agency proceedings); §1519 (falsifying records in federal investigations)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AARO inquiries and IG investigations are within executive jurisdiction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Concealing programs to evade funding or reporting laws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§371 (conspiracy to defraud the United States)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United States v. North</w:t>
            </w:r>
            <w:r>
              <w:t xml:space="preserve">, 708 F. Supp. 375 (D.D.C. 1988) (Boland Amendments)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Destroying or hiding records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§2071; §1519; §1512(c); FY2024 NDAA §1842(a)(2)(A) (UAP records may not be destroyed)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§1519 carries 20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Retaliating against or intimidating witnesses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§1512(b) (witness tampering); §1513(e) (retaliation, including interference with lawful employment, for providing truthful information to law enforcement about a federal offense); §241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§1513(e) is a felony reaching employment retaliation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Spending in violation of funding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Antideficiency Act criminal provisions, 31 U.S.C. §§1350, 1519 (knowing and willful)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Rarely prosecuted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Harm to persons, including killing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U.S.C. §§1111-1112 (special maritime and territorial jurisdiction), §1114 (officers and employees), §1119 (U.S. nationals abroad), state homicide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limitations period for murder (18 U.S.C. §3281; state law)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Unlawful detention or torture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§2340A (torture outside U.S.), state and federal kidnapping statutes, war crimes (§2441)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Person</w:t>
            </w:r>
            <w:r>
              <w:t xml:space="preserve">”</w:t>
            </w:r>
            <w:r>
              <w:t xml:space="preserve"> </w:t>
            </w:r>
            <w:r>
              <w:t xml:space="preserve">element and NHI status are open questions (</w:t>
            </w:r>
            <w:hyperlink r:id="rId22">
              <w:r>
                <w:rPr>
                  <w:rStyle w:val="Hyperlink"/>
                </w:rPr>
                <w:t xml:space="preserve">Issue F2</w:t>
              </w:r>
            </w:hyperlink>
            <w:r>
              <w:t xml:space="preserve">)</w:t>
            </w:r>
          </w:p>
        </w:tc>
      </w:tr>
    </w:tbl>
    <w:p>
      <w:pPr>
        <w:pStyle w:val="BodyText"/>
      </w:pPr>
      <w:r>
        <w:t xml:space="preserve">Prosecution faces practical barriers: classified evidence (CIPA), possible public-authority defenses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Issue A2</w:t>
        </w:r>
      </w:hyperlink>
      <w:r>
        <w:t xml:space="preserve">), immunity granted to witnesses (</w:t>
      </w:r>
      <w:hyperlink r:id="rId24">
        <w:r>
          <w:rPr>
            <w:rStyle w:val="Hyperlink"/>
          </w:rPr>
          <w:t xml:space="preserve">Issue B3</w:t>
        </w:r>
      </w:hyperlink>
      <w:r>
        <w:t xml:space="preserve">), and the five-year general limitations period for</w:t>
      </w:r>
      <w:r>
        <w:t xml:space="preserve"> </w:t>
      </w:r>
      <w:r>
        <w:t xml:space="preserve">most non-capital offenses.</w:t>
      </w:r>
    </w:p>
    <w:p>
      <w:r>
        <w:pict>
          <v:rect style="width:0;height:1.5pt" o:hralign="center" o:hrstd="t" o:hr="t"/>
        </w:pict>
      </w:r>
    </w:p>
    <w:bookmarkEnd w:id="25"/>
    <w:bookmarkStart w:id="28" w:name="false-statements-to-congress"/>
    <w:p>
      <w:pPr>
        <w:pStyle w:val="Heading2"/>
      </w:pPr>
      <w:r>
        <w:t xml:space="preserve">2. False statements to Congress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§1001(c).</w:t>
      </w:r>
      <w:r>
        <w:t xml:space="preserve"> </w:t>
      </w:r>
      <w:r>
        <w:t xml:space="preserve">For the legislative branch, §1001 applies only to (1) administrative matters such as claims</w:t>
      </w:r>
      <w:r>
        <w:t xml:space="preserve"> </w:t>
      </w:r>
      <w:r>
        <w:t xml:space="preserve">and procurement, and (2)</w:t>
      </w:r>
      <w:r>
        <w:t xml:space="preserve"> </w:t>
      </w:r>
      <w:r>
        <w:t xml:space="preserve">“</w:t>
      </w:r>
      <w:r>
        <w:t xml:space="preserve">any investigation or review, conducted pursuant to the authority of any</w:t>
      </w:r>
      <w:r>
        <w:t xml:space="preserve"> </w:t>
      </w:r>
      <w:r>
        <w:t xml:space="preserve">committee, subcommittee, commission or office of the Congress, consistent with applicable rules of the</w:t>
      </w:r>
      <w:r>
        <w:t xml:space="preserve"> </w:t>
      </w:r>
      <w:r>
        <w:t xml:space="preserve">House or Senate.</w:t>
      </w:r>
      <w:r>
        <w:t xml:space="preserve">”</w:t>
      </w:r>
      <w:r>
        <w:t xml:space="preserve"> </w:t>
      </w:r>
      <w:r>
        <w:t xml:space="preserve">Testimony at committee oversight hearings on UAP (2022-2025) and statements to committee</w:t>
      </w:r>
      <w:r>
        <w:t xml:space="preserve"> </w:t>
      </w:r>
      <w:r>
        <w:t xml:space="preserve">staff in authorized inquiries fall within (c)(2).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Cases.</w:t>
      </w:r>
      <w:r>
        <w:t xml:space="preserve"> </w:t>
      </w:r>
      <w:r>
        <w:rPr>
          <w:iCs/>
          <w:i/>
        </w:rPr>
        <w:t xml:space="preserve">Bowser</w:t>
      </w:r>
      <w:r>
        <w:t xml:space="preserve"> </w:t>
      </w:r>
      <w:r>
        <w:t xml:space="preserve">(D.C. Cir. 2020): a congressional chief of staff’s statements to the Office of</w:t>
      </w:r>
      <w:r>
        <w:t xml:space="preserve"> </w:t>
      </w:r>
      <w:r>
        <w:t xml:space="preserve">Congressional Ethics supported §1001 convictions; the court addressed which congressional bodies qualify</w:t>
      </w:r>
      <w:r>
        <w:t xml:space="preserve"> </w:t>
      </w:r>
      <w:r>
        <w:t xml:space="preserve">and held the false-statement question justiciable.</w:t>
      </w:r>
      <w:r>
        <w:t xml:space="preserve"> </w:t>
      </w:r>
      <w:r>
        <w:rPr>
          <w:iCs/>
          <w:i/>
        </w:rPr>
        <w:t xml:space="preserve">Stone</w:t>
      </w:r>
      <w:r>
        <w:t xml:space="preserve"> </w:t>
      </w:r>
      <w:r>
        <w:t xml:space="preserve">(D.D.C. 2019): false testimony to the House</w:t>
      </w:r>
      <w:r>
        <w:t xml:space="preserve"> </w:t>
      </w:r>
      <w:r>
        <w:t xml:space="preserve">intelligence committee supported counts for false statements and obstruction; congressional referral was</w:t>
      </w:r>
      <w:r>
        <w:t xml:space="preserve"> </w:t>
      </w:r>
      <w:r>
        <w:t xml:space="preserve">not required.</w:t>
      </w:r>
      <w:r>
        <w:t xml:space="preserve"> </w:t>
      </w:r>
      <w:r>
        <w:rPr>
          <w:iCs/>
          <w:i/>
        </w:rPr>
        <w:t xml:space="preserve">Poindexter</w:t>
      </w:r>
      <w:r>
        <w:t xml:space="preserve">, 951 F.2d 369 (D.C. Cir. 1991): §1505 obstruction of congressional inquiry</w:t>
      </w:r>
      <w:r>
        <w:t xml:space="preserve"> </w:t>
      </w:r>
      <w:r>
        <w:t xml:space="preserve">(conviction reversed on</w:t>
      </w:r>
      <w:r>
        <w:t xml:space="preserve"> </w:t>
      </w:r>
      <w:r>
        <w:rPr>
          <w:iCs/>
          <w:i/>
        </w:rPr>
        <w:t xml:space="preserve">Kastigar</w:t>
      </w:r>
      <w:r>
        <w:t xml:space="preserve"> </w:t>
      </w:r>
      <w:r>
        <w:t xml:space="preserve">grounds).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Application.</w:t>
      </w:r>
      <w:r>
        <w:t xml:space="preserve"> </w:t>
      </w:r>
      <w:r>
        <w:t xml:space="preserve">Officials who testified that no UAP programs existed, or who denied knowledge in briefings,</w:t>
      </w:r>
      <w:r>
        <w:t xml:space="preserve"> </w:t>
      </w:r>
      <w:r>
        <w:t xml:space="preserve">face exposure if their statements were knowingly false and material. For statements to Congress other than</w:t>
      </w:r>
      <w:r>
        <w:t xml:space="preserve"> </w:t>
      </w:r>
      <w:r>
        <w:t xml:space="preserve">administrative filings, §1001(c)(2) reaches only</w:t>
      </w:r>
      <w:r>
        <w:t xml:space="preserve"> </w:t>
      </w:r>
      <w:r>
        <w:t xml:space="preserve">“</w:t>
      </w:r>
      <w:r>
        <w:t xml:space="preserve">any investigation or review, conducted pursuant to the</w:t>
      </w:r>
      <w:r>
        <w:t xml:space="preserve"> </w:t>
      </w:r>
      <w:r>
        <w:t xml:space="preserve">authority of any committee, subcommittee, commission or office of the Congress, consistent with applicable</w:t>
      </w:r>
      <w:r>
        <w:t xml:space="preserve"> </w:t>
      </w:r>
      <w:r>
        <w:t xml:space="preserve">rules of the House or Senate.</w:t>
      </w:r>
      <w:r>
        <w:t xml:space="preserve">”</w:t>
      </w:r>
      <w:r>
        <w:t xml:space="preserve"> </w:t>
      </w:r>
      <w:r>
        <w:t xml:space="preserve">The D.C. Circuit reads that limit strictly. In</w:t>
      </w:r>
      <w:r>
        <w:t xml:space="preserve"> </w:t>
      </w:r>
      <w:r>
        <w:rPr>
          <w:iCs/>
          <w:i/>
        </w:rPr>
        <w:t xml:space="preserve">United States v. Pickett</w:t>
      </w:r>
      <w:r>
        <w:t xml:space="preserve">,</w:t>
      </w:r>
      <w:r>
        <w:t xml:space="preserve"> </w:t>
      </w:r>
      <w:r>
        <w:t xml:space="preserve">353 F.3d 62 (D.C. Cir. 2004), it dismissed an indictment because the false statement was not made in an</w:t>
      </w:r>
      <w:r>
        <w:t xml:space="preserve"> </w:t>
      </w:r>
      <w:r>
        <w:t xml:space="preserve">existing investigation or review; a statement made concurrently with an investigation, or one that itself</w:t>
      </w:r>
      <w:r>
        <w:t xml:space="preserve"> </w:t>
      </w:r>
      <w:r>
        <w:t xml:space="preserve">triggered an inquiry, was not enough. In</w:t>
      </w:r>
      <w:r>
        <w:t xml:space="preserve"> </w:t>
      </w:r>
      <w:r>
        <w:rPr>
          <w:iCs/>
          <w:i/>
        </w:rPr>
        <w:t xml:space="preserve">United States v. Bowser</w:t>
      </w:r>
      <w:r>
        <w:t xml:space="preserve">, 964 F.3d 26, 32-33 (D.C. Cir. 2020), it</w:t>
      </w:r>
      <w:r>
        <w:t xml:space="preserve"> </w:t>
      </w:r>
      <w:r>
        <w:t xml:space="preserve">held that the clause covers voluntary inquiries by an office of Congress (there, the Office of Congressional</w:t>
      </w:r>
      <w:r>
        <w:t xml:space="preserve"> </w:t>
      </w:r>
      <w:r>
        <w:t xml:space="preserve">Ethics) when the witness has fair notice of the duty to disclose. No reported decision has addressed a</w:t>
      </w:r>
      <w:r>
        <w:t xml:space="preserve"> </w:t>
      </w:r>
      <w:r>
        <w:t xml:space="preserve">classified briefing to the Gang of Eight or to committee leadership. A briefing given at a committee’s</w:t>
      </w:r>
      <w:r>
        <w:t xml:space="preserve"> </w:t>
      </w:r>
      <w:r>
        <w:t xml:space="preserve">request in the course of its oversight of a program should qualify; an informal or courtesy briefing</w:t>
      </w:r>
      <w:r>
        <w:t xml:space="preserve"> </w:t>
      </w:r>
      <w:r>
        <w:t xml:space="preserve">initiated by the agency, with no committee inquiry under way, is open to a</w:t>
      </w:r>
      <w:r>
        <w:t xml:space="preserve"> </w:t>
      </w:r>
      <w:r>
        <w:rPr>
          <w:iCs/>
          <w:i/>
        </w:rPr>
        <w:t xml:space="preserve">Pickett</w:t>
      </w:r>
      <w:r>
        <w:t xml:space="preserve"> </w:t>
      </w:r>
      <w:r>
        <w:t xml:space="preserve">challenge. Sworn</w:t>
      </w:r>
      <w:r>
        <w:t xml:space="preserve"> </w:t>
      </w:r>
      <w:r>
        <w:t xml:space="preserve">testimony at a hearing is also covered by the general perjury statute (18 U.S.C. §1621) and by §1505; §1623 does</w:t>
      </w:r>
      <w:r>
        <w:t xml:space="preserve"> </w:t>
      </w:r>
      <w:r>
        <w:t xml:space="preserve">not apply because it is limited to court and grand jury proceedings.</w:t>
      </w:r>
    </w:p>
    <w:p>
      <w:pPr>
        <w:pStyle w:val="FirstParagraph"/>
      </w:pPr>
      <w:r>
        <w:rPr>
          <w:bCs/>
          <w:b/>
        </w:rPr>
        <w:t xml:space="preserve">Reports required by statute.</w:t>
      </w:r>
      <w:r>
        <w:t xml:space="preserve"> </w:t>
      </w:r>
      <w:r>
        <w:t xml:space="preserve">Statements to Congress need not be made in a hearing to be covered. Section</w:t>
      </w:r>
      <w:r>
        <w:t xml:space="preserve"> </w:t>
      </w:r>
      <w:r>
        <w:t xml:space="preserve">1001(c)(1) applies to</w:t>
      </w:r>
      <w:r>
        <w:t xml:space="preserve"> </w:t>
      </w:r>
      <w:r>
        <w:t xml:space="preserve">“</w:t>
      </w:r>
      <w:r>
        <w:t xml:space="preserve">a document required by law, rule, or regulation to be submitted to the Congress or any office</w:t>
      </w:r>
      <w:r>
        <w:t xml:space="preserve"> </w:t>
      </w:r>
      <w:r>
        <w:t xml:space="preserve">or officer within the legislative branch.</w:t>
      </w:r>
      <w:r>
        <w:t xml:space="preserve">”</w:t>
      </w:r>
      <w:r>
        <w:t xml:space="preserve"> </w:t>
      </w:r>
      <w:r>
        <w:t xml:space="preserve">AARO’s annual and historical-record reports are required by 50 U.S.C.</w:t>
      </w:r>
      <w:r>
        <w:t xml:space="preserve"> </w:t>
      </w:r>
      <w:r>
        <w:t xml:space="preserve">§3373, so a knowingly false and material statement in one of them is within §1001 without any committee</w:t>
      </w:r>
      <w:r>
        <w:t xml:space="preserve"> </w:t>
      </w:r>
      <w:r>
        <w:t xml:space="preserve">investigation under way, and the</w:t>
      </w:r>
      <w:r>
        <w:t xml:space="preserve"> </w:t>
      </w:r>
      <w:r>
        <w:rPr>
          <w:iCs/>
          <w:i/>
        </w:rPr>
        <w:t xml:space="preserve">Pickett</w:t>
      </w:r>
      <w:r>
        <w:t xml:space="preserve"> </w:t>
      </w:r>
      <w:r>
        <w:t xml:space="preserve">problem does not arise. On the site’s working premise that AARO is a</w:t>
      </w:r>
      <w:r>
        <w:t xml:space="preserve"> </w:t>
      </w:r>
      <w:r>
        <w:t xml:space="preserve">deliberate disinformation source, this is the most direct criminal theory against the office’s conduct. The</w:t>
      </w:r>
      <w:r>
        <w:t xml:space="preserve"> </w:t>
      </w:r>
      <w:r>
        <w:t xml:space="preserve">obstacles are proof of knowledge (the author of a report must have known the statement was false when made) and</w:t>
      </w:r>
      <w:r>
        <w:t xml:space="preserve"> </w:t>
      </w:r>
      <w:r>
        <w:t xml:space="preserve">materiality, which is a question for the jury.</w:t>
      </w:r>
      <w:r>
        <w:t xml:space="preserve"> </w:t>
      </w:r>
      <w:r>
        <w:rPr>
          <w:iCs/>
          <w:i/>
        </w:rPr>
        <w:t xml:space="preserve">United States v. Gaudin</w:t>
      </w:r>
      <w:r>
        <w:t xml:space="preserve">, 515 U.S. 506 (1995). Any referral should</w:t>
      </w:r>
      <w:r>
        <w:t xml:space="preserve"> </w:t>
      </w:r>
      <w:r>
        <w:t xml:space="preserve">identify the specific sentence, the statute that required the report, and the evidence that its author knew</w:t>
      </w:r>
      <w:r>
        <w:t xml:space="preserve"> </w:t>
      </w:r>
      <w:r>
        <w:t xml:space="preserve">otherwise, and should avoid naming individuals in public until that evidence exists (</w:t>
      </w:r>
      <w:hyperlink r:id="rId26">
        <w:r>
          <w:rPr>
            <w:rStyle w:val="Hyperlink"/>
          </w:rPr>
          <w:t xml:space="preserve">Issue G1</w:t>
        </w:r>
      </w:hyperlink>
      <w:r>
        <w:t xml:space="preserve">).</w:t>
      </w:r>
    </w:p>
    <w:p>
      <w:pPr>
        <w:pStyle w:val="BodyText"/>
      </w:pPr>
      <w:r>
        <w:t xml:space="preserve">The public record of what officials have told Congress is collected in the</w:t>
      </w:r>
      <w:r>
        <w:t xml:space="preserve"> </w:t>
      </w:r>
      <w:hyperlink r:id="rId27">
        <w:r>
          <w:rPr>
            <w:rStyle w:val="Hyperlink"/>
          </w:rPr>
          <w:t xml:space="preserve">statements chronology</w:t>
        </w:r>
      </w:hyperlink>
      <w:r>
        <w:t xml:space="preserve">.</w:t>
      </w:r>
      <w:r>
        <w:t xml:space="preserve"> </w:t>
      </w:r>
      <w:r>
        <w:t xml:space="preserve">In the open hearings reviewed, the 2022 witnesses (Moultrie and Bray) and the AARO directors in 2023 and 2024</w:t>
      </w:r>
      <w:r>
        <w:t xml:space="preserve"> </w:t>
      </w:r>
      <w:r>
        <w:t xml:space="preserve">(Kirkpatrick and Kosloski) were not sworn, and the 2022 statements were limited to the witnesses’ awareness and to</w:t>
      </w:r>
      <w:r>
        <w:t xml:space="preserve"> </w:t>
      </w:r>
      <w:r>
        <w:t xml:space="preserve">“</w:t>
      </w:r>
      <w:r>
        <w:t xml:space="preserve">official programs that we have on the record</w:t>
      </w:r>
      <w:r>
        <w:t xml:space="preserve">”</w:t>
      </w:r>
      <w:r>
        <w:t xml:space="preserve"> </w:t>
      </w:r>
      <w:r>
        <w:t xml:space="preserve">(HPSCI subcommittee hearing, May 17, 2022, Tr. 36). Grusch testified</w:t>
      </w:r>
      <w:r>
        <w:t xml:space="preserve"> </w:t>
      </w:r>
      <w:r>
        <w:t xml:space="preserve">under oath on July 26, 2023, but to what others had told him. Any false-statement theory would therefore rest on</w:t>
      </w:r>
      <w:r>
        <w:t xml:space="preserve"> </w:t>
      </w:r>
      <w:r>
        <w:t xml:space="preserve">§1001(c)(2) and on proof of a witness’s personal knowledge at the time.</w:t>
      </w:r>
    </w:p>
    <w:bookmarkEnd w:id="28"/>
    <w:bookmarkStart w:id="29" w:name="conspiracy-to-defraud-the-united-states"/>
    <w:p>
      <w:pPr>
        <w:pStyle w:val="Heading2"/>
      </w:pPr>
      <w:r>
        <w:t xml:space="preserve">3. Conspiracy to defraud the United States</w:t>
      </w:r>
    </w:p>
    <w:p>
      <w:pPr>
        <w:pStyle w:val="FirstParagraph"/>
      </w:pPr>
      <w:r>
        <w:t xml:space="preserve">Section 371’s defraud clause reaches conspiracies to</w:t>
      </w:r>
      <w:r>
        <w:t xml:space="preserve"> </w:t>
      </w:r>
      <w:r>
        <w:t xml:space="preserve">“</w:t>
      </w:r>
      <w:r>
        <w:t xml:space="preserve">interfere with or obstruct one of its lawful</w:t>
      </w:r>
      <w:r>
        <w:t xml:space="preserve"> </w:t>
      </w:r>
      <w:r>
        <w:t xml:space="preserve">governmental functions by deceit, craft or trickery, or at least by means that are dishonest.</w:t>
      </w:r>
      <w:r>
        <w:t xml:space="preserve">”</w:t>
      </w:r>
      <w:r>
        <w:t xml:space="preserve"> </w:t>
      </w:r>
      <w:r>
        <w:rPr>
          <w:iCs/>
          <w:i/>
        </w:rPr>
        <w:t xml:space="preserve">Hammerschmidt</w:t>
      </w:r>
      <w:r>
        <w:rPr>
          <w:iCs/>
          <w:i/>
        </w:rPr>
        <w:t xml:space="preserve"> </w:t>
      </w:r>
      <w:r>
        <w:rPr>
          <w:iCs/>
          <w:i/>
        </w:rPr>
        <w:t xml:space="preserve">v. United States</w:t>
      </w:r>
      <w:r>
        <w:t xml:space="preserve">, 265 U.S. 182, 188 (1924). In</w:t>
      </w:r>
      <w:r>
        <w:t xml:space="preserve"> </w:t>
      </w:r>
      <w:r>
        <w:rPr>
          <w:iCs/>
          <w:i/>
        </w:rPr>
        <w:t xml:space="preserve">North</w:t>
      </w:r>
      <w:r>
        <w:t xml:space="preserve">, Judge Gesell held that concealment of activities</w:t>
      </w:r>
      <w:r>
        <w:t xml:space="preserve"> </w:t>
      </w:r>
      <w:r>
        <w:t xml:space="preserve">inconsistent with the Boland Amendments could support a §371 charge, rejecting political-question and</w:t>
      </w:r>
      <w:r>
        <w:t xml:space="preserve"> </w:t>
      </w:r>
      <w:r>
        <w:t xml:space="preserve">constitutional objections because the case turned on</w:t>
      </w:r>
      <w:r>
        <w:t xml:space="preserve"> </w:t>
      </w:r>
      <w:r>
        <w:t xml:space="preserve">“</w:t>
      </w:r>
      <w:r>
        <w:t xml:space="preserve">what [the President] did and authorized or did not</w:t>
      </w:r>
      <w:r>
        <w:t xml:space="preserve"> </w:t>
      </w:r>
      <w:r>
        <w:t xml:space="preserve">authorize.</w:t>
      </w:r>
      <w:r>
        <w:t xml:space="preserve">”</w:t>
      </w:r>
      <w:r>
        <w:t xml:space="preserve"> </w:t>
      </w:r>
      <w:r>
        <w:t xml:space="preserve">A conspiracy to conceal UAP programs from Congress in violation of 10 U.S.C. §119, 50 U.S.C. §3091,</w:t>
      </w:r>
      <w:r>
        <w:t xml:space="preserve"> </w:t>
      </w:r>
      <w:r>
        <w:t xml:space="preserve">or FY2024 §1687 fits the same theory. The Supreme Court’s recent narrowing of the property-based fraud statutes</w:t>
      </w:r>
      <w:r>
        <w:t xml:space="preserve"> </w:t>
      </w:r>
      <w:r>
        <w:t xml:space="preserve">(</w:t>
      </w:r>
      <w:r>
        <w:rPr>
          <w:iCs/>
          <w:i/>
        </w:rPr>
        <w:t xml:space="preserve">Ciminelli v. United States</w:t>
      </w:r>
      <w:r>
        <w:t xml:space="preserve">, 598 U.S. 306 (2023);</w:t>
      </w:r>
      <w:r>
        <w:t xml:space="preserve"> </w:t>
      </w:r>
      <w:r>
        <w:rPr>
          <w:iCs/>
          <w:i/>
        </w:rPr>
        <w:t xml:space="preserve">Percoco v. United States</w:t>
      </w:r>
      <w:r>
        <w:t xml:space="preserve">, 598 U.S. 319 (2023)) does not reach</w:t>
      </w:r>
      <w:r>
        <w:t xml:space="preserve"> </w:t>
      </w:r>
      <w:r>
        <w:t xml:space="preserve">§371’s defraud clause, which protects the government’s lawful functions and requires no loss of money or property</w:t>
      </w:r>
      <w:r>
        <w:t xml:space="preserve"> </w:t>
      </w:r>
      <w:r>
        <w:t xml:space="preserve">(</w:t>
      </w:r>
      <w:r>
        <w:rPr>
          <w:iCs/>
          <w:i/>
        </w:rPr>
        <w:t xml:space="preserve">Hammerschmidt</w:t>
      </w:r>
      <w:r>
        <w:t xml:space="preserve">). Where the theory does involve money,</w:t>
      </w:r>
      <w:r>
        <w:t xml:space="preserve"> </w:t>
      </w:r>
      <w:r>
        <w:rPr>
          <w:iCs/>
          <w:i/>
        </w:rPr>
        <w:t xml:space="preserve">Kousisis v. United States</w:t>
      </w:r>
      <w:r>
        <w:t xml:space="preserve">, 605 U.S. 114 (2025), holds that</w:t>
      </w:r>
      <w:r>
        <w:t xml:space="preserve"> </w:t>
      </w:r>
      <w:r>
        <w:t xml:space="preserve">fraudulent inducement is enough for wire fraud even without intent to cause economic loss.</w:t>
      </w:r>
    </w:p>
    <w:p>
      <w:pPr>
        <w:pStyle w:val="BodyText"/>
      </w:pPr>
      <w:r>
        <w:rPr>
          <w:bCs/>
          <w:b/>
        </w:rPr>
        <w:t xml:space="preserve">Major fraud.</w:t>
      </w:r>
      <w:r>
        <w:t xml:space="preserve"> </w:t>
      </w:r>
      <w:r>
        <w:t xml:space="preserve">A contractor that obtained or performed a contract of $1 million or more by a scheme to defraud the</w:t>
      </w:r>
      <w:r>
        <w:t xml:space="preserve"> </w:t>
      </w:r>
      <w:r>
        <w:t xml:space="preserve">United States, or by materially false statements, commits major fraud, with a fine of up to $1 million per count</w:t>
      </w:r>
      <w:r>
        <w:t xml:space="preserve"> </w:t>
      </w:r>
      <w:r>
        <w:t xml:space="preserve">and a seven-year limitations period (18 U.S.C. §1031(a), (f)). The longer period matters for program conduct that</w:t>
      </w:r>
      <w:r>
        <w:t xml:space="preserve"> </w:t>
      </w:r>
      <w:r>
        <w:t xml:space="preserve">ended more than five years ago.</w:t>
      </w:r>
    </w:p>
    <w:p>
      <w:pPr>
        <w:pStyle w:val="BodyText"/>
      </w:pPr>
      <w:r>
        <w:rPr>
          <w:bCs/>
          <w:b/>
        </w:rPr>
        <w:t xml:space="preserve">Misprision.</w:t>
      </w:r>
      <w:r>
        <w:t xml:space="preserve"> </w:t>
      </w:r>
      <w:r>
        <w:t xml:space="preserve">A person who knows of a federal felony and</w:t>
      </w:r>
      <w:r>
        <w:t xml:space="preserve"> </w:t>
      </w:r>
      <w:r>
        <w:t xml:space="preserve">“</w:t>
      </w:r>
      <w:r>
        <w:t xml:space="preserve">conceals and does not as soon as possible make known the</w:t>
      </w:r>
      <w:r>
        <w:t xml:space="preserve"> </w:t>
      </w:r>
      <w:r>
        <w:t xml:space="preserve">same to some judge or other person in civil or military authority</w:t>
      </w:r>
      <w:r>
        <w:t xml:space="preserve">”</w:t>
      </w:r>
      <w:r>
        <w:t xml:space="preserve"> </w:t>
      </w:r>
      <w:r>
        <w:t xml:space="preserve">commits misprision (18 U.S.C. §4). Courts require</w:t>
      </w:r>
      <w:r>
        <w:t xml:space="preserve"> </w:t>
      </w:r>
      <w:r>
        <w:t xml:space="preserve">an affirmative act of concealment, such as false statements or destruction of records, beyond silence. A program</w:t>
      </w:r>
      <w:r>
        <w:t xml:space="preserve"> </w:t>
      </w:r>
      <w:r>
        <w:t xml:space="preserve">participant who helped hide evidence of a homicide or other felony faces this charge even without having taken part</w:t>
      </w:r>
      <w:r>
        <w:t xml:space="preserve"> </w:t>
      </w:r>
      <w:r>
        <w:t xml:space="preserve">in the underlying crime.</w:t>
      </w:r>
    </w:p>
    <w:bookmarkEnd w:id="29"/>
    <w:bookmarkStart w:id="30" w:name="records-offenses"/>
    <w:p>
      <w:pPr>
        <w:pStyle w:val="Heading2"/>
      </w:pPr>
      <w:r>
        <w:t xml:space="preserve">4. Records offenses</w:t>
      </w:r>
    </w:p>
    <w:p>
      <w:pPr>
        <w:pStyle w:val="Compact"/>
        <w:numPr>
          <w:ilvl w:val="0"/>
          <w:numId w:val="1003"/>
        </w:numPr>
      </w:pPr>
      <w:r>
        <w:t xml:space="preserve">18 U.S.C. §2071 (willful concealment, removal, or destruction of federal records; disqualification from</w:t>
      </w:r>
      <w:r>
        <w:t xml:space="preserve"> </w:t>
      </w:r>
      <w:r>
        <w:t xml:space="preserve">office on conviction for custodians).</w:t>
      </w:r>
    </w:p>
    <w:p>
      <w:pPr>
        <w:pStyle w:val="Compact"/>
        <w:numPr>
          <w:ilvl w:val="0"/>
          <w:numId w:val="1003"/>
        </w:numPr>
      </w:pPr>
      <w:r>
        <w:t xml:space="preserve">18 U.S.C. §1519 (destruction or falsification of records with intent to impede a federal investigation or</w:t>
      </w:r>
      <w:r>
        <w:t xml:space="preserve"> </w:t>
      </w:r>
      <w:r>
        <w:t xml:space="preserve">matter, including in contemplation of one; 20 years).</w:t>
      </w:r>
      <w:r>
        <w:t xml:space="preserve"> </w:t>
      </w:r>
      <w:r>
        <w:rPr>
          <w:iCs/>
          <w:i/>
        </w:rPr>
        <w:t xml:space="preserve">Yates v. United States</w:t>
      </w:r>
      <w:r>
        <w:t xml:space="preserve">, 574 U.S. 528 (2015), limits</w:t>
      </w:r>
      <w:r>
        <w:t xml:space="preserve"> </w:t>
      </w:r>
      <w:r>
        <w:t xml:space="preserve">“</w:t>
      </w:r>
      <w:r>
        <w:t xml:space="preserve">tangible object</w:t>
      </w:r>
      <w:r>
        <w:t xml:space="preserve">”</w:t>
      </w:r>
      <w:r>
        <w:t xml:space="preserve"> </w:t>
      </w:r>
      <w:r>
        <w:t xml:space="preserve">to items used to record or preserve information.</w:t>
      </w:r>
    </w:p>
    <w:p>
      <w:pPr>
        <w:pStyle w:val="Compact"/>
        <w:numPr>
          <w:ilvl w:val="0"/>
          <w:numId w:val="1003"/>
        </w:numPr>
      </w:pPr>
      <w:r>
        <w:t xml:space="preserve">18 U.S.C. §1512(c)(1) (corruptly destroying records to impair their availability in an official</w:t>
      </w:r>
      <w:r>
        <w:t xml:space="preserve"> </w:t>
      </w:r>
      <w:r>
        <w:t xml:space="preserve">proceeding).</w:t>
      </w:r>
      <w:r>
        <w:t xml:space="preserve"> </w:t>
      </w:r>
      <w:r>
        <w:rPr>
          <w:iCs/>
          <w:i/>
        </w:rPr>
        <w:t xml:space="preserve">Fischer v. United States</w:t>
      </w:r>
      <w:r>
        <w:t xml:space="preserve">, 603 U.S. 480 (2024), confines §1512(c)(2) to impairment of the</w:t>
      </w:r>
      <w:r>
        <w:t xml:space="preserve"> </w:t>
      </w:r>
      <w:r>
        <w:t xml:space="preserve">availability or integrity of evidence.</w:t>
      </w:r>
    </w:p>
    <w:p>
      <w:pPr>
        <w:pStyle w:val="Compact"/>
        <w:numPr>
          <w:ilvl w:val="0"/>
          <w:numId w:val="1003"/>
        </w:numPr>
      </w:pPr>
      <w:r>
        <w:t xml:space="preserve">FY2024 NDAA §1842(a)(2)(A) (UAP records</w:t>
      </w:r>
      <w:r>
        <w:t xml:space="preserve"> </w:t>
      </w:r>
      <w:r>
        <w:t xml:space="preserve">“</w:t>
      </w:r>
      <w:r>
        <w:t xml:space="preserve">shall not be destroyed, altered, or mutilated in any way</w:t>
      </w:r>
      <w:r>
        <w:t xml:space="preserve">”</w:t>
      </w:r>
      <w:r>
        <w:t xml:space="preserve">); not</w:t>
      </w:r>
      <w:r>
        <w:t xml:space="preserve"> </w:t>
      </w:r>
      <w:r>
        <w:t xml:space="preserve">itself a criminal provision, but establishes the duty and supports §2071 and §1519 theories.</w:t>
      </w:r>
    </w:p>
    <w:bookmarkEnd w:id="30"/>
    <w:bookmarkStart w:id="32" w:name="retaliation-and-intimidation"/>
    <w:p>
      <w:pPr>
        <w:pStyle w:val="Heading2"/>
      </w:pPr>
      <w:r>
        <w:t xml:space="preserve">5. Retaliation and intimidation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§1513(e):</w:t>
      </w:r>
      <w:r>
        <w:t xml:space="preserve"> </w:t>
      </w:r>
      <w:r>
        <w:t xml:space="preserve">“</w:t>
      </w:r>
      <w:r>
        <w:t xml:space="preserve">Whoever knowingly, with the intent to retaliate, takes any action harmful to any person,</w:t>
      </w:r>
      <w:r>
        <w:t xml:space="preserve"> </w:t>
      </w:r>
      <w:r>
        <w:t xml:space="preserve">including interference with the lawful employment or livelihood of any person, for providing to a law</w:t>
      </w:r>
      <w:r>
        <w:t xml:space="preserve"> </w:t>
      </w:r>
      <w:r>
        <w:t xml:space="preserve">enforcement officer any truthful information relating to the commission or possible commission of any</w:t>
      </w:r>
      <w:r>
        <w:t xml:space="preserve"> </w:t>
      </w:r>
      <w:r>
        <w:t xml:space="preserve">Federal offense</w:t>
      </w:r>
      <w:r>
        <w:t xml:space="preserve">”</w:t>
      </w:r>
      <w:r>
        <w:t xml:space="preserve"> </w:t>
      </w:r>
      <w:r>
        <w:t xml:space="preserve">is subject to up to ten years. An official who retaliates against a UAP whistleblower who</w:t>
      </w:r>
      <w:r>
        <w:t xml:space="preserve"> </w:t>
      </w:r>
      <w:r>
        <w:t xml:space="preserve">reported possible federal crimes to an IG or the FBI may fall within it. Section 1515(a)(4) defines</w:t>
      </w:r>
      <w:r>
        <w:t xml:space="preserve"> </w:t>
      </w:r>
      <w:r>
        <w:t xml:space="preserve">“</w:t>
      </w:r>
      <w:r>
        <w:t xml:space="preserve">law</w:t>
      </w:r>
      <w:r>
        <w:t xml:space="preserve"> </w:t>
      </w:r>
      <w:r>
        <w:t xml:space="preserve">enforcement officer</w:t>
      </w:r>
      <w:r>
        <w:t xml:space="preserve">”</w:t>
      </w:r>
      <w:r>
        <w:t xml:space="preserve"> </w:t>
      </w:r>
      <w:r>
        <w:t xml:space="preserve">as a federal officer or employee, or a person acting for or advising the government,</w:t>
      </w:r>
      <w:r>
        <w:t xml:space="preserve"> </w:t>
      </w:r>
      <w:r>
        <w:t xml:space="preserve">“</w:t>
      </w:r>
      <w:r>
        <w:t xml:space="preserve">authorized under law to engage in or supervise the prevention, detection, investigation, or prosecution</w:t>
      </w:r>
      <w:r>
        <w:t xml:space="preserve"> </w:t>
      </w:r>
      <w:r>
        <w:t xml:space="preserve">of an offense.</w:t>
      </w:r>
      <w:r>
        <w:t xml:space="preserve">”</w:t>
      </w:r>
      <w:r>
        <w:t xml:space="preserve"> </w:t>
      </w:r>
      <w:r>
        <w:t xml:space="preserve">FBI agents and IG criminal investigators qualify. AARO’s statutory mission is to</w:t>
      </w:r>
      <w:r>
        <w:t xml:space="preserve"> </w:t>
      </w:r>
      <w:r>
        <w:t xml:space="preserve">investigate and report on UAP, and it is not a law enforcement agency, so a report made only to</w:t>
      </w:r>
      <w:r>
        <w:t xml:space="preserve"> </w:t>
      </w:r>
      <w:r>
        <w:t xml:space="preserve">AARO is a weaker fit; a</w:t>
      </w:r>
      <w:r>
        <w:t xml:space="preserve"> </w:t>
      </w:r>
      <w:r>
        <w:t xml:space="preserve">whistleblower who wants §1513(e) protection should also report the suspected offense to an IG or the FBI.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§1512(b):</w:t>
      </w:r>
      <w:r>
        <w:t xml:space="preserve"> </w:t>
      </w:r>
      <w:r>
        <w:t xml:space="preserve">intimidation or corrupt persuasion to prevent testimony or communication with law</w:t>
      </w:r>
      <w:r>
        <w:t xml:space="preserve"> </w:t>
      </w:r>
      <w:r>
        <w:t xml:space="preserve">enforcement.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Threats and violence:</w:t>
      </w:r>
      <w:r>
        <w:t xml:space="preserve"> </w:t>
      </w:r>
      <w:r>
        <w:t xml:space="preserve">insiders have described threats; 18 U.S.C. §§875, 115, 241 may apply. A former</w:t>
      </w:r>
      <w:r>
        <w:t xml:space="preserve"> </w:t>
      </w:r>
      <w:r>
        <w:t xml:space="preserve">director of the Navy’s UAP Task Force reports that witnesses were told</w:t>
      </w:r>
      <w:r>
        <w:t xml:space="preserve"> </w:t>
      </w:r>
      <w:r>
        <w:t xml:space="preserve">“</w:t>
      </w:r>
      <w:r>
        <w:t xml:space="preserve">they could vanish or see their families</w:t>
      </w:r>
      <w:r>
        <w:t xml:space="preserve"> </w:t>
      </w:r>
      <w:r>
        <w:t xml:space="preserve">harmed if they spoke</w:t>
      </w:r>
      <w:r>
        <w:t xml:space="preserve">”</w:t>
      </w:r>
      <w:r>
        <w:t xml:space="preserve"> </w:t>
      </w:r>
      <w:r>
        <w:t xml:space="preserve">and that the Atomic Energy Act</w:t>
      </w:r>
      <w:r>
        <w:t xml:space="preserve"> </w:t>
      </w:r>
      <w:r>
        <w:t xml:space="preserve">“</w:t>
      </w:r>
      <w:r>
        <w:t xml:space="preserve">could be used to sentence them to death</w:t>
      </w:r>
      <w:r>
        <w:t xml:space="preserve">”</w:t>
      </w:r>
      <w:r>
        <w:t xml:space="preserve"> </w:t>
      </w:r>
      <w:r>
        <w:t xml:space="preserve">(Jay Stratton,</w:t>
      </w:r>
      <w:r>
        <w:t xml:space="preserve"> </w:t>
      </w:r>
      <w:r>
        <w:rPr>
          <w:iCs/>
          <w:i/>
        </w:rPr>
        <w:t xml:space="preserve">Out</w:t>
      </w:r>
      <w:r>
        <w:rPr>
          <w:iCs/>
          <w:i/>
        </w:rPr>
        <w:t xml:space="preserve"> </w:t>
      </w:r>
      <w:r>
        <w:rPr>
          <w:iCs/>
          <w:i/>
        </w:rPr>
        <w:t xml:space="preserve">of the Shadows</w:t>
      </w:r>
      <w:r>
        <w:t xml:space="preserve"> </w:t>
      </w:r>
      <w:r>
        <w:t xml:space="preserve">ch. 36 (2026)). The Act’s death penalty was repealed in 1969 (</w:t>
      </w:r>
      <w:hyperlink r:id="rId31">
        <w:r>
          <w:rPr>
            <w:rStyle w:val="Hyperlink"/>
          </w:rPr>
          <w:t xml:space="preserve">Issue C3</w:t>
        </w:r>
      </w:hyperlink>
      <w:r>
        <w:t xml:space="preserve">). A threat made to prevent a</w:t>
      </w:r>
      <w:r>
        <w:t xml:space="preserve"> </w:t>
      </w:r>
      <w:r>
        <w:t xml:space="preserve">person from communicating with law enforcement or testifying is witness tampering under §1512(b) whatever its</w:t>
      </w:r>
      <w:r>
        <w:t xml:space="preserve"> </w:t>
      </w:r>
      <w:r>
        <w:t xml:space="preserve">legal premise.</w:t>
      </w:r>
    </w:p>
    <w:bookmarkEnd w:id="32"/>
    <w:bookmarkStart w:id="33" w:name="harm-to-persons"/>
    <w:p>
      <w:pPr>
        <w:pStyle w:val="Heading2"/>
      </w:pPr>
      <w:r>
        <w:t xml:space="preserve">6. Harm to persons</w:t>
      </w:r>
    </w:p>
    <w:p>
      <w:pPr>
        <w:pStyle w:val="FirstParagraph"/>
      </w:pPr>
      <w:r>
        <w:t xml:space="preserve">Allegations that people were killed or injured to protect secrecy would be investigated under federal law</w:t>
      </w:r>
      <w:r>
        <w:t xml:space="preserve"> </w:t>
      </w:r>
      <w:r>
        <w:t xml:space="preserve">where there is federal jurisdiction (federal enclaves, federal officers as victims, U.S. nationals abroad)</w:t>
      </w:r>
      <w:r>
        <w:t xml:space="preserve"> </w:t>
      </w:r>
      <w:r>
        <w:t xml:space="preserve">and otherwise under state law. Murder has no limitations period. These allegations, if supported by</w:t>
      </w:r>
      <w:r>
        <w:t xml:space="preserve"> </w:t>
      </w:r>
      <w:r>
        <w:t xml:space="preserve">evidence, are the strongest reason to exclude grave conduct from any immunity or truth-commission scheme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Issue B3</w:t>
        </w:r>
      </w:hyperlink>
      <w:r>
        <w:t xml:space="preserve">).</w:t>
      </w:r>
    </w:p>
    <w:bookmarkEnd w:id="33"/>
    <w:bookmarkStart w:id="34" w:name="limitations"/>
    <w:p>
      <w:pPr>
        <w:pStyle w:val="Heading2"/>
      </w:pPr>
      <w:r>
        <w:t xml:space="preserve">7. Limitations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General rule:</w:t>
      </w:r>
      <w:r>
        <w:t xml:space="preserve"> </w:t>
      </w:r>
      <w:r>
        <w:t xml:space="preserve">five years for non-capital federal offenses (18 U.S.C. §3282(a)).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Conspiracy:</w:t>
      </w:r>
      <w:r>
        <w:t xml:space="preserve"> </w:t>
      </w:r>
      <w:r>
        <w:t xml:space="preserve">runs from the last overt act in furtherance; a continuing concealment conspiracy may</w:t>
      </w:r>
      <w:r>
        <w:t xml:space="preserve"> </w:t>
      </w:r>
      <w:r>
        <w:t xml:space="preserve">extend the period, but acts of concealment after the main objectives are achieved do not extend it</w:t>
      </w:r>
      <w:r>
        <w:t xml:space="preserve"> </w:t>
      </w:r>
      <w:r>
        <w:t xml:space="preserve">(</w:t>
      </w:r>
      <w:r>
        <w:rPr>
          <w:iCs/>
          <w:i/>
        </w:rPr>
        <w:t xml:space="preserve">Grunewald v. United States</w:t>
      </w:r>
      <w:r>
        <w:t xml:space="preserve">, 353 U.S. 391 (1957)).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Wartime Suspension of Limitations Act</w:t>
      </w:r>
      <w:r>
        <w:t xml:space="preserve">, 18 U.S.C. §3287: when the United States is at war or Congress</w:t>
      </w:r>
      <w:r>
        <w:t xml:space="preserve"> </w:t>
      </w:r>
      <w:r>
        <w:t xml:space="preserve">has authorized the use of military force, the limitations period for offenses involving fraud against the</w:t>
      </w:r>
      <w:r>
        <w:t xml:space="preserve"> </w:t>
      </w:r>
      <w:r>
        <w:t xml:space="preserve">United States (and certain property and contract offenses) is suspended until five years after the</w:t>
      </w:r>
      <w:r>
        <w:t xml:space="preserve"> </w:t>
      </w:r>
      <w:r>
        <w:t xml:space="preserve">termination of hostilities.</w:t>
      </w:r>
      <w:r>
        <w:t xml:space="preserve"> </w:t>
      </w:r>
      <w:r>
        <w:rPr>
          <w:iCs/>
          <w:i/>
        </w:rPr>
        <w:t xml:space="preserve">Kellogg Brown &amp; Root Services, Inc. v. United States ex rel. Carter</w:t>
      </w:r>
      <w:r>
        <w:t xml:space="preserve">, 575 U.S.</w:t>
      </w:r>
      <w:r>
        <w:t xml:space="preserve"> </w:t>
      </w:r>
      <w:r>
        <w:t xml:space="preserve">650 (2015), held it applies only to criminal offenses. Since 2008 the statute is triggered by a specific</w:t>
      </w:r>
      <w:r>
        <w:t xml:space="preserve"> </w:t>
      </w:r>
      <w:r>
        <w:t xml:space="preserve">congressional authorization for the use of the Armed Forces, and the suspension ends only on a presidential</w:t>
      </w:r>
      <w:r>
        <w:t xml:space="preserve"> </w:t>
      </w:r>
      <w:r>
        <w:t xml:space="preserve">proclamation, with notice to Congress, or a concurrent resolution of Congress. The circuits that have</w:t>
      </w:r>
      <w:r>
        <w:t xml:space="preserve"> </w:t>
      </w:r>
      <w:r>
        <w:t xml:space="preserve">addressed the question hold that the 2001 and 2002 AUMFs triggered the suspension and that it has not been</w:t>
      </w:r>
      <w:r>
        <w:t xml:space="preserve"> </w:t>
      </w:r>
      <w:r>
        <w:t xml:space="preserve">formally terminated, and they have applied it to conspiracies to defraud the United States under §371.</w:t>
      </w:r>
      <w:r>
        <w:t xml:space="preserve"> </w:t>
      </w:r>
      <w:r>
        <w:rPr>
          <w:iCs/>
          <w:i/>
        </w:rPr>
        <w:t xml:space="preserve">United States v. Pfluger</w:t>
      </w:r>
      <w:r>
        <w:t xml:space="preserve">, 685 F.3d 481 (5th Cir. 2012);</w:t>
      </w:r>
      <w:r>
        <w:t xml:space="preserve"> </w:t>
      </w:r>
      <w:r>
        <w:rPr>
          <w:iCs/>
          <w:i/>
        </w:rPr>
        <w:t xml:space="preserve">United States v. Meléndez-González</w:t>
      </w:r>
      <w:r>
        <w:t xml:space="preserve">, 892 F.3d 9</w:t>
      </w:r>
      <w:r>
        <w:t xml:space="preserve"> </w:t>
      </w:r>
      <w:r>
        <w:t xml:space="preserve">(1st Cir. 2018) (wire fraud, embezzlement, and §371 defraud conspiracy).</w:t>
      </w:r>
      <w:r>
        <w:t xml:space="preserve"> </w:t>
      </w:r>
      <w:r>
        <w:rPr>
          <w:iCs/>
          <w:i/>
        </w:rPr>
        <w:t xml:space="preserve">United States v. Wellington</w:t>
      </w:r>
      <w:r>
        <w:t xml:space="preserve">, 2022</w:t>
      </w:r>
      <w:r>
        <w:t xml:space="preserve"> </w:t>
      </w:r>
      <w:r>
        <w:t xml:space="preserve">WL 3345759 (D.N.M. Aug. 12, 2022), granted a WSLA-based motion to dismiss in part and should be read for the</w:t>
      </w:r>
      <w:r>
        <w:t xml:space="preserve"> </w:t>
      </w:r>
      <w:r>
        <w:t xml:space="preserve">limits courts place on the</w:t>
      </w:r>
      <w:r>
        <w:t xml:space="preserve"> </w:t>
      </w:r>
      <w:r>
        <w:t xml:space="preserve">“</w:t>
      </w:r>
      <w:r>
        <w:t xml:space="preserve">fraud against the United States</w:t>
      </w:r>
      <w:r>
        <w:t xml:space="preserve">”</w:t>
      </w:r>
      <w:r>
        <w:t xml:space="preserve"> </w:t>
      </w:r>
      <w:r>
        <w:t xml:space="preserve">element. The suspension has a significant limit for UAP theories. It</w:t>
      </w:r>
      <w:r>
        <w:t xml:space="preserve"> </w:t>
      </w:r>
      <w:r>
        <w:t xml:space="preserve">applies</w:t>
      </w:r>
      <w:r>
        <w:t xml:space="preserve"> </w:t>
      </w:r>
      <w:r>
        <w:t xml:space="preserve">“</w:t>
      </w:r>
      <w:r>
        <w:t xml:space="preserve">only where the fraud is of a pecuniary nature or at least of a nature concerning property,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only to offenses in which defrauding the United States is an essential ingredient.</w:t>
      </w:r>
      <w:r>
        <w:t xml:space="preserve"> </w:t>
      </w:r>
      <w:r>
        <w:rPr>
          <w:iCs/>
          <w:i/>
        </w:rPr>
        <w:t xml:space="preserve">Bridges v. United</w:t>
      </w:r>
      <w:r>
        <w:rPr>
          <w:iCs/>
          <w:i/>
        </w:rPr>
        <w:t xml:space="preserve"> </w:t>
      </w:r>
      <w:r>
        <w:rPr>
          <w:iCs/>
          <w:i/>
        </w:rPr>
        <w:t xml:space="preserve">States</w:t>
      </w:r>
      <w:r>
        <w:t xml:space="preserve">, 346 U.S. 209, 215-16 (1953). A §371 conspiracy to impair Congress’s oversight function, without</w:t>
      </w:r>
      <w:r>
        <w:t xml:space="preserve"> </w:t>
      </w:r>
      <w:r>
        <w:t xml:space="preserve">more, is probably outside the statute; a theory built on diversion or misuse of appropriated funds for an</w:t>
      </w:r>
      <w:r>
        <w:t xml:space="preserve"> </w:t>
      </w:r>
      <w:r>
        <w:t xml:space="preserve">unreported program fits it better. Counsel should also confirm whether any AUMF has since been repealed or</w:t>
      </w:r>
      <w:r>
        <w:t xml:space="preserve"> </w:t>
      </w:r>
      <w:r>
        <w:t xml:space="preserve">hostilities formally terminated.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Capital offenses:</w:t>
      </w:r>
      <w:r>
        <w:t xml:space="preserve"> </w:t>
      </w:r>
      <w:r>
        <w:t xml:space="preserve">no limitation (§3281).</w:t>
      </w:r>
    </w:p>
    <w:bookmarkEnd w:id="34"/>
    <w:bookmarkStart w:id="35" w:name="who-would-investigate-and-prosecute"/>
    <w:p>
      <w:pPr>
        <w:pStyle w:val="Heading2"/>
      </w:pPr>
      <w:r>
        <w:t xml:space="preserve">8. Who would investigate and prosecute</w:t>
      </w:r>
    </w:p>
    <w:p>
      <w:pPr>
        <w:pStyle w:val="FirstParagraph"/>
      </w:pPr>
      <w:r>
        <w:t xml:space="preserve">The Department of Justice controls federal charging; its National Security Division and Public Integrity Section</w:t>
      </w:r>
      <w:r>
        <w:t xml:space="preserve"> </w:t>
      </w:r>
      <w:r>
        <w:t xml:space="preserve">would be involved in any case touching classified programs or false statements to Congress. If the Attorney General</w:t>
      </w:r>
      <w:r>
        <w:t xml:space="preserve"> </w:t>
      </w:r>
      <w:r>
        <w:t xml:space="preserve">determines that a criminal investigation is warranted and that investigation by the Department</w:t>
      </w:r>
      <w:r>
        <w:t xml:space="preserve"> </w:t>
      </w:r>
      <w:r>
        <w:t xml:space="preserve">“</w:t>
      </w:r>
      <w:r>
        <w:t xml:space="preserve">would present a</w:t>
      </w:r>
      <w:r>
        <w:t xml:space="preserve"> </w:t>
      </w:r>
      <w:r>
        <w:t xml:space="preserve">conflict of interest for the Department or other extraordinary circumstances,</w:t>
      </w:r>
      <w:r>
        <w:t xml:space="preserve">”</w:t>
      </w:r>
      <w:r>
        <w:t xml:space="preserve"> </w:t>
      </w:r>
      <w:r>
        <w:t xml:space="preserve">and that a special counsel is in the</w:t>
      </w:r>
      <w:r>
        <w:t xml:space="preserve"> </w:t>
      </w:r>
      <w:r>
        <w:t xml:space="preserve">public interest, the regulations provide for appointing one (28 C.F.R. §600.1). A concealment program run across</w:t>
      </w:r>
      <w:r>
        <w:t xml:space="preserve"> </w:t>
      </w:r>
      <w:r>
        <w:t xml:space="preserve">several agencies, with former Department officials possibly involved, is the kind of case for which committees have</w:t>
      </w:r>
      <w:r>
        <w:t xml:space="preserve"> </w:t>
      </w:r>
      <w:r>
        <w:t xml:space="preserve">asked for a special counsel. Homicide and other state crimes can be prosecuted by state authorities regardless of</w:t>
      </w:r>
      <w:r>
        <w:t xml:space="preserve"> </w:t>
      </w:r>
      <w:r>
        <w:t xml:space="preserve">federal action.</w:t>
      </w:r>
    </w:p>
    <w:bookmarkEnd w:id="35"/>
    <w:bookmarkStart w:id="37" w:name="barriers-to-prosecution"/>
    <w:p>
      <w:pPr>
        <w:pStyle w:val="Heading2"/>
      </w:pPr>
      <w:r>
        <w:t xml:space="preserve">9. Barriers to prosecution</w:t>
      </w:r>
    </w:p>
    <w:p>
      <w:pPr>
        <w:pStyle w:val="Compact"/>
        <w:numPr>
          <w:ilvl w:val="0"/>
          <w:numId w:val="1006"/>
        </w:numPr>
      </w:pPr>
      <w:r>
        <w:t xml:space="preserve">Classified evidence and CIPA; graymail (</w:t>
      </w:r>
      <w:hyperlink r:id="rId36">
        <w:r>
          <w:rPr>
            <w:rStyle w:val="Hyperlink"/>
          </w:rPr>
          <w:t xml:space="preserve">Issue A1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Public-authority and reliance defenses (</w:t>
      </w:r>
      <w:hyperlink r:id="rId23">
        <w:r>
          <w:rPr>
            <w:rStyle w:val="Hyperlink"/>
          </w:rPr>
          <w:t xml:space="preserve">Issue A2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Immunity granted to witnesses in congressional or commission proceedings (</w:t>
      </w:r>
      <w:hyperlink r:id="rId24">
        <w:r>
          <w:rPr>
            <w:rStyle w:val="Hyperlink"/>
          </w:rPr>
          <w:t xml:space="preserve">Issue B3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Presidential pardons.</w:t>
      </w:r>
    </w:p>
    <w:p>
      <w:pPr>
        <w:pStyle w:val="Compact"/>
        <w:numPr>
          <w:ilvl w:val="0"/>
          <w:numId w:val="1006"/>
        </w:numPr>
      </w:pPr>
      <w:r>
        <w:t xml:space="preserve">Prosecutorial discretion; the Department of Justice controls charging.</w:t>
      </w:r>
    </w:p>
    <w:bookmarkEnd w:id="37"/>
    <w:bookmarkStart w:id="38" w:name="practice-points"/>
    <w:p>
      <w:pPr>
        <w:pStyle w:val="Heading2"/>
      </w:pPr>
      <w:r>
        <w:t xml:space="preserve">10. Practice points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For whistleblowers and their counsel:</w:t>
      </w:r>
      <w:r>
        <w:t xml:space="preserve"> </w:t>
      </w:r>
      <w:r>
        <w:t xml:space="preserve">document allegations of false statements to Congress and</w:t>
      </w:r>
      <w:r>
        <w:t xml:space="preserve"> </w:t>
      </w:r>
      <w:r>
        <w:t xml:space="preserve">retaliation; report to IGs, the FBI, and committees through proper channels; note limitations periods.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For counsel to officials and contractors:</w:t>
      </w:r>
      <w:r>
        <w:t xml:space="preserve"> </w:t>
      </w:r>
      <w:r>
        <w:t xml:space="preserve">assess exposure for testimony and briefings given since 2021;</w:t>
      </w:r>
      <w:r>
        <w:t xml:space="preserve"> </w:t>
      </w:r>
      <w:r>
        <w:t xml:space="preserve">consider corrective statements (recantation may be a defense to perjury under §1623(d) in some</w:t>
      </w:r>
      <w:r>
        <w:t xml:space="preserve"> </w:t>
      </w:r>
      <w:r>
        <w:t xml:space="preserve">proceedings); preserve records; evaluate immunity strategy before testimony.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For committee counsel:</w:t>
      </w:r>
      <w:r>
        <w:t xml:space="preserve"> </w:t>
      </w:r>
      <w:r>
        <w:t xml:space="preserve">take testimony under oath; build records of what was represented to Congress</w:t>
      </w:r>
      <w:r>
        <w:t xml:space="preserve"> </w:t>
      </w:r>
      <w:r>
        <w:t xml:space="preserve">and when; make criminal referrals with specificity.</w:t>
      </w:r>
    </w:p>
    <w:bookmarkEnd w:id="38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Criminal Liability for Concealment of UAP Programs: False Statements,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6" Type="http://schemas.openxmlformats.org/officeDocument/2006/relationships/hyperlink" Target="https://nhilaw.com/issues/a1.html" TargetMode="External"/><Relationship Id="rId23" Type="http://schemas.openxmlformats.org/officeDocument/2006/relationships/hyperlink" Target="https://nhilaw.com/issues/a2.html" TargetMode="External"/><Relationship Id="rId24" Type="http://schemas.openxmlformats.org/officeDocument/2006/relationships/hyperlink" Target="https://nhilaw.com/issues/b3.html" TargetMode="External"/><Relationship Id="rId31" Type="http://schemas.openxmlformats.org/officeDocument/2006/relationships/hyperlink" Target="https://nhilaw.com/issues/c3.html" TargetMode="External"/><Relationship Id="rId27" Type="http://schemas.openxmlformats.org/officeDocument/2006/relationships/hyperlink" Target="https://nhilaw.com/issues/d3-statements-chronology.html" TargetMode="External"/><Relationship Id="rId22" Type="http://schemas.openxmlformats.org/officeDocument/2006/relationships/hyperlink" Target="https://nhilaw.com/issues/f2.html" TargetMode="External"/><Relationship Id="rId26" Type="http://schemas.openxmlformats.org/officeDocument/2006/relationships/hyperlink" Target="https://nhilaw.com/issues/g1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6" Type="http://schemas.openxmlformats.org/officeDocument/2006/relationships/hyperlink" Target="https://nhilaw.com/issues/a1.html" TargetMode="External"/><Relationship Id="rId23" Type="http://schemas.openxmlformats.org/officeDocument/2006/relationships/hyperlink" Target="https://nhilaw.com/issues/a2.html" TargetMode="External"/><Relationship Id="rId24" Type="http://schemas.openxmlformats.org/officeDocument/2006/relationships/hyperlink" Target="https://nhilaw.com/issues/b3.html" TargetMode="External"/><Relationship Id="rId31" Type="http://schemas.openxmlformats.org/officeDocument/2006/relationships/hyperlink" Target="https://nhilaw.com/issues/c3.html" TargetMode="External"/><Relationship Id="rId27" Type="http://schemas.openxmlformats.org/officeDocument/2006/relationships/hyperlink" Target="https://nhilaw.com/issues/d3-statements-chronology.html" TargetMode="External"/><Relationship Id="rId22" Type="http://schemas.openxmlformats.org/officeDocument/2006/relationships/hyperlink" Target="https://nhilaw.com/issues/f2.html" TargetMode="External"/><Relationship Id="rId26" Type="http://schemas.openxmlformats.org/officeDocument/2006/relationships/hyperlink" Target="https://nhilaw.com/issues/g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Liability for Concealment of UAP Programs: False Statements, Obstruction, Retaliation, and Limitations</dc:title>
  <dc:creator>nhilaw.com</dc:creator>
  <cp:keywords/>
  <dcterms:created xsi:type="dcterms:W3CDTF">2026-10-19T03:13:29Z</dcterms:created>
  <dcterms:modified xsi:type="dcterms:W3CDTF">2026-10-19T03:13:29Z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nhilaw.com/issues/d3.html</vt:lpwstr>
  </property>
</Properties>
</file>