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7ed7860d25666730beb31598752447e5552b4ae"/>
    <w:p>
      <w:pPr>
        <w:pStyle w:val="Heading1"/>
      </w:pPr>
      <w:r>
        <w:t xml:space="preserve">Form D4-1. Preservation Demand and Data Request After an Aviation Incident Involving a Possible UAP</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https://nhilaw.com/forms/d4-1.html</w:t>
      </w:r>
    </w:p>
    <w:p>
      <w:pPr>
        <w:pStyle w:val="BodyText"/>
        <w:spacing w:after="160" w:line="259" w:lineRule="auto"/>
      </w:pPr>
      <w:r>
        <w:rPr>
          <w:bCs/>
          <w:b/>
        </w:rPr>
        <w:t xml:space="preserve">When to use.</w:t>
      </w:r>
      <w:r>
        <w:t xml:space="preserve"> </w:t>
      </w:r>
      <w:r>
        <w:t xml:space="preserve">Immediately after an aviation incident in which a UAP may have been present.</w:t>
      </w:r>
      <w:r>
        <w:t xml:space="preserve"> </w:t>
      </w:r>
      <w:r>
        <w:rPr>
          <w:bCs/>
          <w:b/>
        </w:rPr>
        <w:t xml:space="preserve">Not for:</w:t>
      </w:r>
      <w:r>
        <w:t xml:space="preserve"> </w:t>
      </w:r>
      <w:r>
        <w:t xml:space="preserve">Incidents with no federal or military data in play.</w:t>
      </w:r>
    </w:p>
    <w:p>
      <w:pPr>
        <w:pStyle w:val="BodyText"/>
        <w:spacing w:after="160" w:line="259" w:lineRule="auto"/>
      </w:pPr>
      <w:r>
        <w:rPr>
          <w:bCs/>
          <w:b/>
        </w:rPr>
        <w:t xml:space="preserve">Deadlines.</w:t>
      </w:r>
      <w:r>
        <w:t xml:space="preserve"> </w:t>
      </w:r>
      <w:r>
        <w:t xml:space="preserve">Send the same day. AIR21 complaint within 90 days of an adverse action (49 U.S.C. §42121(b)(1)); FTCA claim within two years (28 U.S.C. §2401(b)).</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[Counsel letterhead]</w:t>
      </w:r>
    </w:p>
    <w:p>
      <w:pPr>
        <w:pStyle w:val="BodyText"/>
      </w:pPr>
      <w:r>
        <w:t xml:space="preserve">[Date]</w:t>
      </w:r>
    </w:p>
    <w:p>
      <w:pPr>
        <w:pStyle w:val="BodyText"/>
      </w:pPr>
      <w:r>
        <w:rPr>
          <w:bCs/>
          <w:b/>
        </w:rPr>
        <w:t xml:space="preserve">By email and overnight delivery</w:t>
      </w:r>
    </w:p>
    <w:p>
      <w:pPr>
        <w:pStyle w:val="BodyText"/>
      </w:pPr>
      <w:r>
        <w:t xml:space="preserve">Federal Aviation Administration, Office of the Chief Counsel [and ATO Safety and Technical Training]</w:t>
      </w:r>
      <w:r>
        <w:br/>
      </w:r>
      <w:r>
        <w:t xml:space="preserve">National Transportation Safety Board, Office of Aviation Safety [if investigating]</w:t>
      </w:r>
      <w:r>
        <w:br/>
      </w:r>
      <w:r>
        <w:t xml:space="preserve">Commander, North American Aerospace Defense Command / U.S. Northern Command, Office of the Staff Judge</w:t>
      </w:r>
      <w:r>
        <w:br/>
      </w:r>
      <w:r>
        <w:t xml:space="preserve">Advocate</w:t>
      </w:r>
      <w:r>
        <w:br/>
      </w:r>
      <w:r>
        <w:t xml:space="preserve">[Commander, unit operating relevant sensors or aircraft], Office of the Staff Judge Advocate</w:t>
      </w:r>
      <w:r>
        <w:br/>
      </w:r>
      <w:r>
        <w:t xml:space="preserve">Director, All-domain Anomaly Resolution Office</w:t>
      </w:r>
      <w:r>
        <w:br/>
      </w:r>
      <w:r>
        <w:t xml:space="preserve">[Contractor operating relevant radar or sensors, General Counsel]</w:t>
      </w:r>
    </w:p>
    <w:p>
      <w:pPr>
        <w:pStyle w:val="BodyText"/>
      </w:pPr>
      <w:r>
        <w:rPr>
          <w:bCs/>
          <w:b/>
        </w:rPr>
        <w:t xml:space="preserve">Re: Preservation of data concerning [aircraft registration / flight number], [date/time UTC], near</w:t>
      </w:r>
      <w:r>
        <w:rPr>
          <w:bCs/>
          <w:b/>
        </w:rPr>
        <w:t xml:space="preserve"> </w:t>
      </w:r>
      <w:r>
        <w:rPr>
          <w:bCs/>
          <w:b/>
        </w:rPr>
        <w:t xml:space="preserve">[location]</w:t>
      </w:r>
    </w:p>
    <w:p>
      <w:pPr>
        <w:pStyle w:val="BodyText"/>
      </w:pPr>
      <w:r>
        <w:t xml:space="preserve">I represent [client: pilot, operator, injured passenger, estate] concerning the [accident / incident / near</w:t>
      </w:r>
      <w:r>
        <w:t xml:space="preserve"> </w:t>
      </w:r>
      <w:r>
        <w:t xml:space="preserve">midair collision] described above. There is reason to believe an unidentified object [was reported / was</w:t>
      </w:r>
      <w:r>
        <w:t xml:space="preserve"> </w:t>
      </w:r>
      <w:r>
        <w:t xml:space="preserve">observed / may have been present] near the aircraft.</w:t>
      </w:r>
    </w:p>
    <w:p>
      <w:pPr>
        <w:pStyle w:val="BodyText"/>
      </w:pPr>
      <w:r>
        <w:rPr>
          <w:bCs/>
          <w:b/>
        </w:rPr>
        <w:t xml:space="preserve">Please preserve, and suspend any routine deletion of,</w:t>
      </w:r>
      <w:r>
        <w:t xml:space="preserve"> </w:t>
      </w:r>
      <w:r>
        <w:t xml:space="preserve">all records relating to the airspace within [50]</w:t>
      </w:r>
      <w:r>
        <w:t xml:space="preserve"> </w:t>
      </w:r>
      <w:r>
        <w:t xml:space="preserve">nautical miles of [location] from [time minus 2 hours] to [time plus 2 hours], including:</w:t>
      </w:r>
    </w:p>
    <w:p>
      <w:pPr>
        <w:pStyle w:val="Compact"/>
        <w:numPr>
          <w:ilvl w:val="0"/>
          <w:numId w:val="1001"/>
        </w:numPr>
      </w:pPr>
      <w:r>
        <w:t xml:space="preserve">primary and secondary radar data from all FAA, military, NORAD, and contractor sensors, including raw</w:t>
      </w:r>
      <w:r>
        <w:t xml:space="preserve"> </w:t>
      </w:r>
      <w:r>
        <w:t xml:space="preserve">returns and tracks not displayed to controllers;</w:t>
      </w:r>
    </w:p>
    <w:p>
      <w:pPr>
        <w:pStyle w:val="Compact"/>
        <w:numPr>
          <w:ilvl w:val="0"/>
          <w:numId w:val="1001"/>
        </w:numPr>
      </w:pPr>
      <w:r>
        <w:t xml:space="preserve">air traffic control audio, transcripts, and controller and supervisor logs, including any notification</w:t>
      </w:r>
      <w:r>
        <w:t xml:space="preserve"> </w:t>
      </w:r>
      <w:r>
        <w:t xml:space="preserve">under FAA Notices N7110.800 and N7210.970 (or successor provisions) concerning unidentified anomalous</w:t>
      </w:r>
      <w:r>
        <w:t xml:space="preserve"> </w:t>
      </w:r>
      <w:r>
        <w:t xml:space="preserve">phenomena;</w:t>
      </w:r>
    </w:p>
    <w:p>
      <w:pPr>
        <w:pStyle w:val="Compact"/>
        <w:numPr>
          <w:ilvl w:val="0"/>
          <w:numId w:val="1001"/>
        </w:numPr>
      </w:pPr>
      <w:r>
        <w:t xml:space="preserve">NORAD and NORTHCOM track data, scramble or intercept records, and any summary prepared for briefings under</w:t>
      </w:r>
      <w:r>
        <w:t xml:space="preserve"> </w:t>
      </w:r>
      <w:r>
        <w:t xml:space="preserve">50 U.S.C. §3373(l)(5);</w:t>
      </w:r>
    </w:p>
    <w:p>
      <w:pPr>
        <w:pStyle w:val="Compact"/>
        <w:numPr>
          <w:ilvl w:val="0"/>
          <w:numId w:val="1001"/>
        </w:numPr>
      </w:pPr>
      <w:r>
        <w:t xml:space="preserve">infrared, electro-optical, satellite, and other sensor data of the area and time;</w:t>
      </w:r>
    </w:p>
    <w:p>
      <w:pPr>
        <w:pStyle w:val="Compact"/>
        <w:numPr>
          <w:ilvl w:val="0"/>
          <w:numId w:val="1001"/>
        </w:numPr>
      </w:pPr>
      <w:r>
        <w:t xml:space="preserve">reports to AARO and any AARO case file;</w:t>
      </w:r>
    </w:p>
    <w:p>
      <w:pPr>
        <w:pStyle w:val="Compact"/>
        <w:numPr>
          <w:ilvl w:val="0"/>
          <w:numId w:val="1001"/>
        </w:numPr>
      </w:pPr>
      <w:r>
        <w:t xml:space="preserve">communications among agencies concerning the object or the incident; and</w:t>
      </w:r>
    </w:p>
    <w:p>
      <w:pPr>
        <w:pStyle w:val="Compact"/>
        <w:numPr>
          <w:ilvl w:val="0"/>
          <w:numId w:val="1001"/>
        </w:numPr>
      </w:pPr>
      <w:r>
        <w:t xml:space="preserve">any instruction concerning the handling or classification of these records.</w:t>
      </w:r>
    </w:p>
    <w:p>
      <w:pPr>
        <w:pStyle w:val="FirstParagraph"/>
      </w:pPr>
      <w:r>
        <w:t xml:space="preserve">These records are also</w:t>
      </w:r>
      <w:r>
        <w:t xml:space="preserve"> </w:t>
      </w:r>
      <w:r>
        <w:t xml:space="preserve">“</w:t>
      </w:r>
      <w:r>
        <w:t xml:space="preserve">unidentified anomalous phenomena records</w:t>
      </w:r>
      <w:r>
        <w:t xml:space="preserve">”</w:t>
      </w:r>
      <w:r>
        <w:t xml:space="preserve"> </w:t>
      </w:r>
      <w:r>
        <w:t xml:space="preserve">that may not be destroyed or altered under</w:t>
      </w:r>
      <w:r>
        <w:t xml:space="preserve"> </w:t>
      </w:r>
      <w:r>
        <w:t xml:space="preserve">Pub. L. No. 118-31, §1842(a)(2)(A) (44 U.S.C. §2107 note).</w:t>
      </w:r>
    </w:p>
    <w:p>
      <w:pPr>
        <w:pStyle w:val="BodyText"/>
      </w:pPr>
      <w:r>
        <w:rPr>
          <w:bCs/>
          <w:b/>
        </w:rPr>
        <w:t xml:space="preserve">Please confirm</w:t>
      </w:r>
      <w:r>
        <w:t xml:space="preserve"> </w:t>
      </w:r>
      <w:r>
        <w:t xml:space="preserve">within [7] days that the records have been preserved and identify a contact for each</w:t>
      </w:r>
      <w:r>
        <w:t xml:space="preserve"> </w:t>
      </w:r>
      <w:r>
        <w:t xml:space="preserve">agency. Where records are classified, please preserve them under appropriate security and confirm that</w:t>
      </w:r>
      <w:r>
        <w:t xml:space="preserve"> </w:t>
      </w:r>
      <w:r>
        <w:t xml:space="preserve">they are preserved.</w:t>
      </w:r>
    </w:p>
    <w:p>
      <w:pPr>
        <w:pStyle w:val="BodyText"/>
      </w:pPr>
      <w:r>
        <w:rPr>
          <w:bCs/>
          <w:b/>
        </w:rPr>
        <w:t xml:space="preserve">NTSB.</w:t>
      </w:r>
      <w:r>
        <w:t xml:space="preserve"> </w:t>
      </w:r>
      <w:r>
        <w:t xml:space="preserve">[If NTSB is investigating:] The Board investigates each accident involving civil aircraft, and each</w:t>
      </w:r>
      <w:r>
        <w:t xml:space="preserve"> </w:t>
      </w:r>
      <w:r>
        <w:t xml:space="preserve">accident involving both military and civil aircraft with the participation of the military authorities (49 U.S.C.</w:t>
      </w:r>
      <w:r>
        <w:t xml:space="preserve"> </w:t>
      </w:r>
      <w:r>
        <w:t xml:space="preserve">§1132(a)(1)), and its investigation has priority over other federal investigations (49 C.F.R. §831.5(a)(1)). We</w:t>
      </w:r>
      <w:r>
        <w:t xml:space="preserve"> </w:t>
      </w:r>
      <w:r>
        <w:t xml:space="preserve">request that the Board obtain all available military and contractor sensor data for the area and time as part of</w:t>
      </w:r>
      <w:r>
        <w:t xml:space="preserve"> </w:t>
      </w:r>
      <w:r>
        <w:t xml:space="preserve">its investigation.</w:t>
      </w:r>
    </w:p>
    <w:p>
      <w:pPr>
        <w:pStyle w:val="BodyText"/>
      </w:pPr>
      <w:r>
        <w:rPr>
          <w:bCs/>
          <w:b/>
        </w:rPr>
        <w:t xml:space="preserve">Crew members.</w:t>
      </w:r>
      <w:r>
        <w:t xml:space="preserve"> </w:t>
      </w:r>
      <w:r>
        <w:t xml:space="preserve">[If the client is a crew member of an air carrier:] [Client] reported the observation to [the</w:t>
      </w:r>
      <w:r>
        <w:t xml:space="preserve"> </w:t>
      </w:r>
      <w:r>
        <w:t xml:space="preserve">carrier / air traffic control / the FAA] on [date]. [Client] is protected against discharge or discrimination for</w:t>
      </w:r>
      <w:r>
        <w:t xml:space="preserve"> </w:t>
      </w:r>
      <w:r>
        <w:t xml:space="preserve">providing information about air carrier safety under 49 U.S.C. §42121. [Carrier] is asked to preserve all records</w:t>
      </w:r>
      <w:r>
        <w:t xml:space="preserve"> </w:t>
      </w:r>
      <w:r>
        <w:t xml:space="preserve">of [client]’s report and of any action taken concerning [client]’s duties, medical certification, or employment</w:t>
      </w:r>
      <w:r>
        <w:t xml:space="preserve"> </w:t>
      </w:r>
      <w:r>
        <w:t xml:space="preserve">since the report.</w:t>
      </w:r>
    </w:p>
    <w:p>
      <w:pPr>
        <w:pStyle w:val="BodyText"/>
      </w:pPr>
      <w:r>
        <w:t xml:space="preserve">Nothing in this letter waives any claim. We will separately submit FOIA requests and administrative claims.</w:t>
      </w:r>
    </w:p>
    <w:p>
      <w:pPr>
        <w:pStyle w:val="BodyText"/>
      </w:pPr>
      <w:r>
        <w:t xml:space="preserve">Sincerely,</w:t>
      </w:r>
      <w:r>
        <w:br/>
      </w:r>
      <w:r>
        <w:t xml:space="preserve">[Counsel]</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2"/>
        </w:numPr>
      </w:pPr>
      <w:r>
        <w:rPr>
          <w:bCs/>
          <w:b/>
        </w:rPr>
        <w:t xml:space="preserve">AIR21 deadline.</w:t>
      </w:r>
      <w:r>
        <w:t xml:space="preserve"> </w:t>
      </w:r>
      <w:r>
        <w:t xml:space="preserve">A crew member disciplined after the report must file with OSHA within 90 days of the adverse</w:t>
      </w:r>
      <w:r>
        <w:t xml:space="preserve"> </w:t>
      </w:r>
      <w:r>
        <w:t xml:space="preserve">action (49 U.S.C. §42121(b)(1)). Calendar it the day the action is known; do not wait for the preservation</w:t>
      </w:r>
      <w:r>
        <w:t xml:space="preserve"> </w:t>
      </w:r>
      <w:r>
        <w:t xml:space="preserve">responses.</w:t>
      </w:r>
    </w:p>
    <w:p>
      <w:pPr>
        <w:pStyle w:val="Compact"/>
        <w:numPr>
          <w:ilvl w:val="0"/>
          <w:numId w:val="1002"/>
        </w:numPr>
      </w:pPr>
      <w:r>
        <w:rPr>
          <w:bCs/>
          <w:b/>
        </w:rPr>
        <w:t xml:space="preserve">FTCA.</w:t>
      </w:r>
      <w:r>
        <w:t xml:space="preserve"> </w:t>
      </w:r>
      <w:r>
        <w:t xml:space="preserve">If the government’s conduct may have contributed to the loss, file an SF-95 within two years (28 U.S.C.</w:t>
      </w:r>
      <w:r>
        <w:t xml:space="preserve"> </w:t>
      </w:r>
      <w:r>
        <w:t xml:space="preserve">§2401(b);</w:t>
      </w:r>
      <w:r>
        <w:t xml:space="preserve"> </w:t>
      </w:r>
      <w:hyperlink r:id="rId20">
        <w:r>
          <w:rPr>
            <w:rStyle w:val="Hyperlink"/>
          </w:rPr>
          <w:t xml:space="preserve">Form D5-1</w:t>
        </w:r>
      </w:hyperlink>
      <w:r>
        <w:t xml:space="preserve">).</w:t>
      </w:r>
    </w:p>
    <w:p>
      <w:pPr>
        <w:pStyle w:val="Compact"/>
        <w:numPr>
          <w:ilvl w:val="0"/>
          <w:numId w:val="1002"/>
        </w:numPr>
      </w:pPr>
      <w:r>
        <w:rPr>
          <w:bCs/>
          <w:b/>
        </w:rPr>
        <w:t xml:space="preserve">Military recipients.</w:t>
      </w:r>
      <w:r>
        <w:t xml:space="preserve"> </w:t>
      </w:r>
      <w:r>
        <w:t xml:space="preserve">Send the letter to the staff judge advocate of each command that may hold data. Some radar and</w:t>
      </w:r>
      <w:r>
        <w:t xml:space="preserve"> </w:t>
      </w:r>
      <w:r>
        <w:t xml:space="preserve">sensor recordings are kept only briefly, so send the letter the same day.</w:t>
      </w:r>
    </w:p>
    <w:p>
      <w:pPr>
        <w:pStyle w:val="Compact"/>
        <w:numPr>
          <w:ilvl w:val="0"/>
          <w:numId w:val="1002"/>
        </w:numPr>
      </w:pPr>
      <w:r>
        <w:t xml:space="preserve">Related:</w:t>
      </w:r>
      <w:r>
        <w:t xml:space="preserve"> </w:t>
      </w:r>
      <w:hyperlink r:id="rId21">
        <w:r>
          <w:rPr>
            <w:rStyle w:val="Hyperlink"/>
          </w:rPr>
          <w:t xml:space="preserve">Issue D4</w:t>
        </w:r>
      </w:hyperlink>
      <w:r>
        <w:t xml:space="preserve">, D5, B1; Forms B1-1, D5-1.</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d5-1.html" TargetMode="External"/><Relationship Id="rId21" Type="http://schemas.openxmlformats.org/officeDocument/2006/relationships/hyperlink" Target="https://nhilaw.com/issues/d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d5-1.html" TargetMode="External"/><Relationship Id="rId21" Type="http://schemas.openxmlformats.org/officeDocument/2006/relationships/hyperlink" Target="https://nhilaw.com/issues/d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D4-1. Preservation Demand and Data Request After an Aviation Incident Involving a Possible UAP</dc:title>
  <dc:creator>nhilaw.com</dc:creator>
  <cp:keywords/>
  <dcterms:created xsi:type="dcterms:W3CDTF">2026-10-19T03:13:38Z</dcterms:created>
  <dcterms:modified xsi:type="dcterms:W3CDTF">2026-10-19T03:13:38Z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