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UAP and Aviation Safety: Detection, Notification Duties, and Government Liability</w:t>
      </w:r>
    </w:p>
    <w:p>
      <w:pPr>
        <w:pStyle w:val="Subtitle"/>
      </w:pPr>
      <w:r>
        <w:t xml:space="preserve">Version 1.10 · October 2026 · nhilaw.com/issues/d4.html</w:t>
      </w:r>
    </w:p>
    <w:p>
      <w:pPr>
        <w:pStyle w:val="FirstParagraph"/>
      </w:pPr>
      <w:r>
        <w:rPr>
          <w:iCs/>
          <w:i/>
        </w:rPr>
        <w:t xml:space="preserve">Version 1.10, October 2026. Legal information, not legal advice. Published by the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Emergent Frontiers Institute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(NHI Law is not a law firm). Citations checked in October 2026; check every citation before relying on it.</w:t>
      </w:r>
    </w:p>
    <w:p>
      <w:r>
        <w:pict>
          <v:rect style="width:0;height:1.5pt" o:hralign="center" o:hrstd="t" o:hr="t"/>
        </w:pict>
      </w:r>
    </w:p>
    <w:bookmarkStart w:id="22" w:name="key-points"/>
    <w:p>
      <w:pPr>
        <w:pStyle w:val="Heading2"/>
      </w:pPr>
      <w:r>
        <w:t xml:space="preserve">Key points</w:t>
      </w:r>
    </w:p>
    <w:p>
      <w:pPr>
        <w:pStyle w:val="Compact"/>
        <w:numPr>
          <w:ilvl w:val="0"/>
          <w:numId w:val="1001"/>
        </w:numPr>
      </w:pPr>
      <w:r>
        <w:t xml:space="preserve">No statute requires the military or intelligence community to share classified UAP detections with the FAA or pilots; the reporting rules (FAA notices, the 2023 Joint Staff order) send information inward to AARO.</w:t>
      </w:r>
    </w:p>
    <w:p>
      <w:pPr>
        <w:pStyle w:val="Compact"/>
        <w:numPr>
          <w:ilvl w:val="0"/>
          <w:numId w:val="1001"/>
        </w:numPr>
      </w:pPr>
      <w:r>
        <w:t xml:space="preserve">FTCA claims face the discretionary function exception (</w:t>
      </w:r>
      <w:r>
        <w:rPr>
          <w:iCs/>
          <w:i/>
        </w:rPr>
        <w:t xml:space="preserve">Allen</w:t>
      </w:r>
      <w:r>
        <w:t xml:space="preserve">;</w:t>
      </w:r>
      <w:r>
        <w:t xml:space="preserve"> </w:t>
      </w:r>
      <w:r>
        <w:rPr>
          <w:iCs/>
          <w:i/>
        </w:rPr>
        <w:t xml:space="preserve">Varig</w:t>
      </w:r>
      <w:r>
        <w:t xml:space="preserve">); claims built on violation of a mandatory directive or on operational negligence survive.</w:t>
      </w:r>
    </w:p>
    <w:p>
      <w:pPr>
        <w:pStyle w:val="Compact"/>
        <w:numPr>
          <w:ilvl w:val="0"/>
          <w:numId w:val="1001"/>
        </w:numPr>
      </w:pPr>
      <w:r>
        <w:t xml:space="preserve">Pilots who are disciplined for reporting have an AIR21 remedy now (49 U.S.C. §42121; 90 days).</w:t>
      </w:r>
    </w:p>
    <w:p>
      <w:pPr>
        <w:pStyle w:val="Compact"/>
        <w:numPr>
          <w:ilvl w:val="0"/>
          <w:numId w:val="1001"/>
        </w:numPr>
      </w:pPr>
      <w:r>
        <w:t xml:space="preserve">After any incident, send preservation demands to the FAA, NORAD, the units involved and AARO, and ask the NTSB to obtain military data (</w:t>
      </w:r>
      <w:hyperlink r:id="rId21">
        <w:r>
          <w:rPr>
            <w:rStyle w:val="Hyperlink"/>
          </w:rPr>
          <w:t xml:space="preserve">Form D4-1</w:t>
        </w:r>
      </w:hyperlink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The fix is legislative: a duty to share safety-relevant detections with the FAA in usable form and a compensation scheme.</w:t>
      </w:r>
    </w:p>
    <w:p>
      <w:r>
        <w:pict>
          <v:rect style="width:0;height:1.5pt" o:hralign="center" o:hrstd="t" o:hr="t"/>
        </w:pict>
      </w:r>
    </w:p>
    <w:bookmarkEnd w:id="22"/>
    <w:bookmarkStart w:id="23" w:name="summary"/>
    <w:p>
      <w:pPr>
        <w:pStyle w:val="Heading2"/>
      </w:pPr>
      <w:r>
        <w:t xml:space="preserve">1. Summary</w:t>
      </w:r>
    </w:p>
    <w:p>
      <w:pPr>
        <w:pStyle w:val="FirstParagraph"/>
      </w:pPr>
      <w:r>
        <w:t xml:space="preserve">Military and intelligence sensors detect objects in or near civil airspace that civil air traffic control</w:t>
      </w:r>
      <w:r>
        <w:t xml:space="preserve"> </w:t>
      </w:r>
      <w:r>
        <w:t xml:space="preserve">cannot see or cannot identify. If a UAP causes or contributes to a civil aviation accident or near miss,</w:t>
      </w:r>
      <w:r>
        <w:t xml:space="preserve"> </w:t>
      </w:r>
      <w:r>
        <w:t xml:space="preserve">victims will ask whether the government knew of the hazard and failed to warn.</w:t>
      </w:r>
    </w:p>
    <w:p>
      <w:pPr>
        <w:pStyle w:val="BodyText"/>
      </w:pPr>
      <w:r>
        <w:t xml:space="preserve">The law gives limited support for that claim: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No general statutory duty</w:t>
      </w:r>
      <w:r>
        <w:t xml:space="preserve"> </w:t>
      </w:r>
      <w:r>
        <w:t xml:space="preserve">requires the Department of War or the intelligence community to share</w:t>
      </w:r>
      <w:r>
        <w:t xml:space="preserve"> </w:t>
      </w:r>
      <w:r>
        <w:t xml:space="preserve">classified sensor detections with the FAA or pilots. The FAA’s own procedures since October 2025 require</w:t>
      </w:r>
      <w:r>
        <w:t xml:space="preserve"> </w:t>
      </w:r>
      <w:r>
        <w:t xml:space="preserve">controllers to report UAP observations upward (FAA Notices N7110.800 and N7210.970), and Congress has</w:t>
      </w:r>
      <w:r>
        <w:t xml:space="preserve"> </w:t>
      </w:r>
      <w:r>
        <w:t xml:space="preserve">directed AARO to report UAP intercepts by NORAD and NORTHCOM to Congress (50 U.S.C. §3373(l)(5)). The</w:t>
      </w:r>
      <w:r>
        <w:t xml:space="preserve"> </w:t>
      </w:r>
      <w:r>
        <w:t xml:space="preserve">pending Safe Airspace for Americans Act would route pilot reports to AARO and protect reporting pilots.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FTCA claims</w:t>
      </w:r>
      <w:r>
        <w:t xml:space="preserve"> </w:t>
      </w:r>
      <w:r>
        <w:t xml:space="preserve">face the discretionary function exception, 28 U.S.C. §2680(a). Decisions about whether</w:t>
      </w:r>
      <w:r>
        <w:t xml:space="preserve"> </w:t>
      </w:r>
      <w:r>
        <w:t xml:space="preserve">and how to warn the public of hazards known through classified programs have been held discretionary.</w:t>
      </w:r>
      <w:r>
        <w:t xml:space="preserve"> </w:t>
      </w:r>
      <w:r>
        <w:rPr>
          <w:iCs/>
          <w:i/>
        </w:rPr>
        <w:t xml:space="preserve">Allen v. United States</w:t>
      </w:r>
      <w:r>
        <w:t xml:space="preserve">, 816 F.2d 1417 (10th Cir. 1987) (fallout from atomic tests; the Atomic Energy</w:t>
      </w:r>
      <w:r>
        <w:t xml:space="preserve"> </w:t>
      </w:r>
      <w:r>
        <w:t xml:space="preserve">Commission’s monitoring and warning programs were protected policy judgments). Once the government</w:t>
      </w:r>
      <w:r>
        <w:t xml:space="preserve"> </w:t>
      </w:r>
      <w:r>
        <w:t xml:space="preserve">undertakes to provide a service, such as air traffic control, it must perform it with due care.</w:t>
      </w:r>
      <w:r>
        <w:t xml:space="preserve"> </w:t>
      </w:r>
      <w:r>
        <w:rPr>
          <w:iCs/>
          <w:i/>
        </w:rPr>
        <w:t xml:space="preserve">Indian</w:t>
      </w:r>
      <w:r>
        <w:rPr>
          <w:iCs/>
          <w:i/>
        </w:rPr>
        <w:t xml:space="preserve"> </w:t>
      </w:r>
      <w:r>
        <w:rPr>
          <w:iCs/>
          <w:i/>
        </w:rPr>
        <w:t xml:space="preserve">Towing Co. v. United States</w:t>
      </w:r>
      <w:r>
        <w:t xml:space="preserve">, 350 U.S. 61 (1955);</w:t>
      </w:r>
      <w:r>
        <w:t xml:space="preserve"> </w:t>
      </w:r>
      <w:r>
        <w:rPr>
          <w:iCs/>
          <w:i/>
        </w:rPr>
        <w:t xml:space="preserve">Ingham v. Eastern Air Lines, Inc.</w:t>
      </w:r>
      <w:r>
        <w:t xml:space="preserve">, 373 F.2d 227 (2d</w:t>
      </w:r>
      <w:r>
        <w:t xml:space="preserve"> </w:t>
      </w:r>
      <w:r>
        <w:t xml:space="preserve">Cir. 1967) (FAA approach controller’s failure to tell an incoming aircraft that visibility had dropped,</w:t>
      </w:r>
      <w:r>
        <w:t xml:space="preserve"> </w:t>
      </w:r>
      <w:r>
        <w:t xml:space="preserve">in violation of an FAA directive requiring transmission of weather changes, was negligence).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Military operations</w:t>
      </w:r>
      <w:r>
        <w:t xml:space="preserve"> </w:t>
      </w:r>
      <w:r>
        <w:t xml:space="preserve">face additional defenses: the combatant activities exception (§2680(j)),</w:t>
      </w:r>
      <w:r>
        <w:t xml:space="preserve"> </w:t>
      </w:r>
      <w:r>
        <w:rPr>
          <w:iCs/>
          <w:i/>
        </w:rPr>
        <w:t xml:space="preserve">Feres</w:t>
      </w:r>
      <w:r>
        <w:t xml:space="preserve"> </w:t>
      </w:r>
      <w:r>
        <w:t xml:space="preserve">for service members, and the state secrets privilege.</w:t>
      </w:r>
    </w:p>
    <w:p>
      <w:pPr>
        <w:pStyle w:val="Compact"/>
        <w:numPr>
          <w:ilvl w:val="0"/>
          <w:numId w:val="1002"/>
        </w:numPr>
      </w:pPr>
      <w:r>
        <w:rPr>
          <w:bCs/>
          <w:b/>
        </w:rPr>
        <w:t xml:space="preserve">Statutory compensation</w:t>
      </w:r>
      <w:r>
        <w:t xml:space="preserve"> </w:t>
      </w:r>
      <w:r>
        <w:t xml:space="preserve">has been Congress’s answer when courts denied relief for secret government</w:t>
      </w:r>
      <w:r>
        <w:t xml:space="preserve"> </w:t>
      </w:r>
      <w:r>
        <w:t xml:space="preserve">hazards (Radiation Exposure Compensation Act, 1990, after</w:t>
      </w:r>
      <w:r>
        <w:t xml:space="preserve"> </w:t>
      </w:r>
      <w:r>
        <w:rPr>
          <w:iCs/>
          <w:i/>
        </w:rPr>
        <w:t xml:space="preserve">Allen</w:t>
      </w:r>
      <w:r>
        <w:t xml:space="preserve">).</w:t>
      </w:r>
    </w:p>
    <w:p>
      <w:pPr>
        <w:pStyle w:val="FirstParagraph"/>
      </w:pPr>
      <w:r>
        <w:t xml:space="preserve">The practical recommendation is legislative: a statutory duty to share safety-relevant UAP detections with</w:t>
      </w:r>
      <w:r>
        <w:t xml:space="preserve"> </w:t>
      </w:r>
      <w:r>
        <w:t xml:space="preserve">the FAA in usable form, a confidential pilot reporting channel, and a compensation scheme for injuries</w:t>
      </w:r>
      <w:r>
        <w:t xml:space="preserve"> </w:t>
      </w:r>
      <w:r>
        <w:t xml:space="preserve">traceable to UAP or to government operations against them.</w:t>
      </w:r>
    </w:p>
    <w:p>
      <w:r>
        <w:pict>
          <v:rect style="width:0;height:1.5pt" o:hralign="center" o:hrstd="t" o:hr="t"/>
        </w:pict>
      </w:r>
    </w:p>
    <w:bookmarkEnd w:id="23"/>
    <w:bookmarkStart w:id="29" w:name="current-reporting-framework"/>
    <w:p>
      <w:pPr>
        <w:pStyle w:val="Heading2"/>
      </w:pPr>
      <w:r>
        <w:t xml:space="preserve">2. Current reporting framework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FAA Notice N7110.800</w:t>
      </w:r>
      <w:r>
        <w:t xml:space="preserve"> </w:t>
      </w:r>
      <w:r>
        <w:t xml:space="preserve">(Sept. 12, 2025) amends JO 7110.65 (Air Traffic Control) to require controllers to</w:t>
      </w:r>
      <w:r>
        <w:t xml:space="preserve"> </w:t>
      </w:r>
      <w:r>
        <w:t xml:space="preserve">inform the supervisor or controller-in-charge of reported or observed UAP activity.</w:t>
      </w:r>
      <w:r>
        <w:t xml:space="preserve"> </w:t>
      </w:r>
      <w:r>
        <w:rPr>
          <w:bCs/>
          <w:b/>
        </w:rPr>
        <w:t xml:space="preserve">FAA Notice</w:t>
      </w:r>
      <w:r>
        <w:rPr>
          <w:bCs/>
          <w:b/>
        </w:rPr>
        <w:t xml:space="preserve"> </w:t>
      </w:r>
      <w:r>
        <w:rPr>
          <w:bCs/>
          <w:b/>
        </w:rPr>
        <w:t xml:space="preserve">N7210.970</w:t>
      </w:r>
      <w:r>
        <w:t xml:space="preserve"> </w:t>
      </w:r>
      <w:r>
        <w:t xml:space="preserve">(Sept. 25, 2025) amends JO 7210.3 to require notification to the national security and</w:t>
      </w:r>
      <w:r>
        <w:t xml:space="preserve"> </w:t>
      </w:r>
      <w:r>
        <w:t xml:space="preserve">operations office (NTSO ATSC) and to provide the AARO reporting link. Both were effective October 26, 2025,</w:t>
      </w:r>
      <w:r>
        <w:t xml:space="preserve"> </w:t>
      </w:r>
      <w:r>
        <w:t xml:space="preserve">with cancellation dates of January 22, 2026. The controller requirement is now permanent: JO 7110.65BB</w:t>
      </w:r>
      <w:r>
        <w:t xml:space="preserve"> </w:t>
      </w:r>
      <w:r>
        <w:t xml:space="preserve">Change 2 (effective January 22, 2026) cancelled and incorporated N7110.800, retitled Chapter 9, Section 8</w:t>
      </w:r>
      <w:r>
        <w:t xml:space="preserve"> </w:t>
      </w:r>
      <w:r>
        <w:t xml:space="preserve">“</w:t>
      </w:r>
      <w:r>
        <w:t xml:space="preserve">Unidentified Anomalous Phenomena (UAP) Reports,</w:t>
      </w:r>
      <w:r>
        <w:t xml:space="preserve">”</w:t>
      </w:r>
      <w:r>
        <w:t xml:space="preserve"> </w:t>
      </w:r>
      <w:r>
        <w:t xml:space="preserve">and provides in ¶9-8-1 that controllers</w:t>
      </w:r>
      <w:r>
        <w:t xml:space="preserve"> </w:t>
      </w:r>
      <w:r>
        <w:t xml:space="preserve">“</w:t>
      </w:r>
      <w:r>
        <w:t xml:space="preserve">[i]nform the</w:t>
      </w:r>
      <w:r>
        <w:t xml:space="preserve"> </w:t>
      </w:r>
      <w:r>
        <w:t xml:space="preserve">operations supervisor/CIC of any reported or observed unidentified anomalous phenomena (UAP)/unexplained</w:t>
      </w:r>
      <w:r>
        <w:t xml:space="preserve"> </w:t>
      </w:r>
      <w:r>
        <w:t xml:space="preserve">phenomena activity,</w:t>
      </w:r>
      <w:r>
        <w:t xml:space="preserve">”</w:t>
      </w:r>
      <w:r>
        <w:t xml:space="preserve"> </w:t>
      </w:r>
      <w:r>
        <w:t xml:space="preserve">with a cross-reference to JO 7210.3 ¶4-7-4. The Pilot/Controller Glossary now</w:t>
      </w:r>
      <w:r>
        <w:t xml:space="preserve"> </w:t>
      </w:r>
      <w:r>
        <w:t xml:space="preserve">defines UAP for aviation reporting purposes and refers to AARO for the full definition. The facility-level rule is also permanent: JO 7210.3EE ¶4-7-4 (Change 3, effective July 9,</w:t>
      </w:r>
      <w:r>
        <w:t xml:space="preserve"> </w:t>
      </w:r>
      <w:r>
        <w:t xml:space="preserve">2026) provides that</w:t>
      </w:r>
      <w:r>
        <w:t xml:space="preserve"> </w:t>
      </w:r>
      <w:r>
        <w:t xml:space="preserve">“</w:t>
      </w:r>
      <w:r>
        <w:t xml:space="preserve">[p]ilot reports and/or air traffic personnel observations of unidentified anomalous</w:t>
      </w:r>
      <w:r>
        <w:t xml:space="preserve"> </w:t>
      </w:r>
      <w:r>
        <w:t xml:space="preserve">phenomena (UAP) activity must be reported to the National Tactical Security Operations (NTSO) Air Traffic</w:t>
      </w:r>
      <w:r>
        <w:t xml:space="preserve"> </w:t>
      </w:r>
      <w:r>
        <w:t xml:space="preserve">Security Coordinator (ATSC) team on the Domestic Events Network (DEN),</w:t>
      </w:r>
      <w:r>
        <w:t xml:space="preserve">”</w:t>
      </w:r>
      <w:r>
        <w:t xml:space="preserve"> </w:t>
      </w:r>
      <w:r>
        <w:t xml:space="preserve">with the reporting aircraft’s call sign</w:t>
      </w:r>
      <w:r>
        <w:t xml:space="preserve"> </w:t>
      </w:r>
      <w:r>
        <w:t xml:space="preserve">and position, the UAP’s position and description, and whether it appeared on ATC radar.</w:t>
      </w:r>
      <w:r>
        <w:t xml:space="preserve"> </w:t>
      </w:r>
      <w:r>
        <w:t xml:space="preserve">Both rules send information up to security coordinators; neither requires controllers to broadcast a UAP</w:t>
      </w:r>
      <w:r>
        <w:t xml:space="preserve"> </w:t>
      </w:r>
      <w:r>
        <w:t xml:space="preserve">hazard to other aircraft, which remains a matter for the controller’s general duty to issue safety alerts and</w:t>
      </w:r>
      <w:r>
        <w:t xml:space="preserve"> </w:t>
      </w:r>
      <w:r>
        <w:t xml:space="preserve">traffic advisories.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Military reporting runs inward.</w:t>
      </w:r>
      <w:r>
        <w:t xml:space="preserve"> </w:t>
      </w:r>
      <w:r>
        <w:t xml:space="preserve">The Joint Staff J3 GENADMIN,</w:t>
      </w:r>
      <w:r>
        <w:t xml:space="preserve"> </w:t>
      </w:r>
      <w:r>
        <w:t xml:space="preserve">“</w:t>
      </w:r>
      <w:r>
        <w:t xml:space="preserve">Unidentified Anomalous Phenomena Reporting and Material Disposition,</w:t>
      </w:r>
      <w:r>
        <w:t xml:space="preserve">”</w:t>
      </w:r>
      <w:r>
        <w:t xml:space="preserve"> </w:t>
      </w:r>
      <w:r>
        <w:t xml:space="preserve">DTG 191452Z May 2023, released under FOIA as DoD 24-F-0067, requires combatant commands and services to report every</w:t>
      </w:r>
      <w:r>
        <w:t xml:space="preserve"> </w:t>
      </w:r>
      <w:r>
        <w:t xml:space="preserve">UAP</w:t>
      </w:r>
      <w:r>
        <w:t xml:space="preserve"> </w:t>
      </w:r>
      <w:r>
        <w:t xml:space="preserve">“</w:t>
      </w:r>
      <w:r>
        <w:t xml:space="preserve">incident,</w:t>
      </w:r>
      <w:r>
        <w:t xml:space="preserve">”</w:t>
      </w:r>
      <w:r>
        <w:t xml:space="preserve"> </w:t>
      </w:r>
      <w:r>
        <w:t xml:space="preserve">“</w:t>
      </w:r>
      <w:r>
        <w:t xml:space="preserve">incursion,</w:t>
      </w:r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w:r>
        <w:t xml:space="preserve">engagement</w:t>
      </w:r>
      <w:r>
        <w:t xml:space="preserve">”</w:t>
      </w:r>
      <w:r>
        <w:t xml:space="preserve"> </w:t>
      </w:r>
      <w:r>
        <w:t xml:space="preserve">to AARO (incident and incursion reports within 96 hours,</w:t>
      </w:r>
      <w:r>
        <w:t xml:space="preserve"> </w:t>
      </w:r>
      <w:r>
        <w:t xml:space="preserve">engagement reports within 12 hours, ¶¶3.C.1-3.C.2), to notify counterintelligence within 24 hours, and to</w:t>
      </w:r>
      <w:r>
        <w:t xml:space="preserve"> </w:t>
      </w:r>
      <w:r>
        <w:t xml:space="preserve">transfer raw data and recovered material to AARO-designated locations within 30 days (¶¶3.E-3.F).</w:t>
      </w:r>
      <w:r>
        <w:t xml:space="preserve"> </w:t>
      </w:r>
      <w:r>
        <w:t xml:space="preserve">Commands must also receive reports</w:t>
      </w:r>
      <w:r>
        <w:t xml:space="preserve"> </w:t>
      </w:r>
      <w:r>
        <w:t xml:space="preserve">“</w:t>
      </w:r>
      <w:r>
        <w:t xml:space="preserve">from third parties-to include civil and foreign partners</w:t>
      </w:r>
      <w:r>
        <w:t xml:space="preserve">”</w:t>
      </w:r>
      <w:r>
        <w:t xml:space="preserve"> </w:t>
      </w:r>
      <w:r>
        <w:t xml:space="preserve">(¶3.G.1.A.1).</w:t>
      </w:r>
      <w:r>
        <w:t xml:space="preserve"> </w:t>
      </w:r>
      <w:r>
        <w:t xml:space="preserve">Nothing in the order requires any notice back to the FAA, air traffic control, or civil operators, and</w:t>
      </w:r>
      <w:r>
        <w:t xml:space="preserve"> </w:t>
      </w:r>
      <w:r>
        <w:t xml:space="preserve">reports are classified under the UAP Security Classification Guide (¶4.D). The order therefore documents</w:t>
      </w:r>
      <w:r>
        <w:t xml:space="preserve"> </w:t>
      </w:r>
      <w:r>
        <w:t xml:space="preserve">a one-way flow: civil reports go into the military system, and military detections are not routed to civil</w:t>
      </w:r>
      <w:r>
        <w:t xml:space="preserve"> </w:t>
      </w:r>
      <w:r>
        <w:t xml:space="preserve">aviation. That gap is the factual premise of a failure-to-warn claim and supports a request for a</w:t>
      </w:r>
      <w:r>
        <w:t xml:space="preserve"> </w:t>
      </w:r>
      <w:r>
        <w:t xml:space="preserve">notification rule (</w:t>
      </w:r>
      <w:hyperlink r:id="rId21">
        <w:r>
          <w:rPr>
            <w:rStyle w:val="Hyperlink"/>
          </w:rPr>
          <w:t xml:space="preserve">Form D4-1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AIM 7-7-4</w:t>
      </w:r>
      <w:r>
        <w:t xml:space="preserve"> </w:t>
      </w:r>
      <w:r>
        <w:t xml:space="preserve">(Aeronautical Information Manual, Change 3, effective July 9, 2026), titled</w:t>
      </w:r>
      <w:r>
        <w:t xml:space="preserve"> </w:t>
      </w:r>
      <w:r>
        <w:t xml:space="preserve">“</w:t>
      </w:r>
      <w:r>
        <w:t xml:space="preserve">Unidentified</w:t>
      </w:r>
      <w:r>
        <w:t xml:space="preserve"> </w:t>
      </w:r>
      <w:r>
        <w:t xml:space="preserve">Anomalous Phenomena (UAP) Reports,</w:t>
      </w:r>
      <w:r>
        <w:t xml:space="preserve">”</w:t>
      </w:r>
      <w:r>
        <w:t xml:space="preserve"> </w:t>
      </w:r>
      <w:r>
        <w:t xml:space="preserve">tells pilots who want to report UAP activity to</w:t>
      </w:r>
      <w:r>
        <w:t xml:space="preserve"> </w:t>
      </w:r>
      <w:r>
        <w:t xml:space="preserve">“</w:t>
      </w:r>
      <w:r>
        <w:t xml:space="preserve">visit the All-Domain</w:t>
      </w:r>
      <w:r>
        <w:t xml:space="preserve"> </w:t>
      </w:r>
      <w:r>
        <w:t xml:space="preserve">Anomaly Resolution Office (AARO) website</w:t>
      </w:r>
      <w:r>
        <w:t xml:space="preserve">”</w:t>
      </w:r>
      <w:r>
        <w:t xml:space="preserve"> </w:t>
      </w:r>
      <w:r>
        <w:t xml:space="preserve">and,</w:t>
      </w:r>
      <w:r>
        <w:t xml:space="preserve"> </w:t>
      </w:r>
      <w:r>
        <w:t xml:space="preserve">“</w:t>
      </w:r>
      <w:r>
        <w:t xml:space="preserve">[i]f concern is expressed that life or property might be</w:t>
      </w:r>
      <w:r>
        <w:t xml:space="preserve"> </w:t>
      </w:r>
      <w:r>
        <w:t xml:space="preserve">endangered,</w:t>
      </w:r>
      <w:r>
        <w:t xml:space="preserve">”</w:t>
      </w:r>
      <w:r>
        <w:t xml:space="preserve"> </w:t>
      </w:r>
      <w:r>
        <w:t xml:space="preserve">to report it</w:t>
      </w:r>
      <w:r>
        <w:t xml:space="preserve"> </w:t>
      </w:r>
      <w:r>
        <w:t xml:space="preserve">“</w:t>
      </w:r>
      <w:r>
        <w:t xml:space="preserve">to the local law enforcement department.</w:t>
      </w:r>
      <w:r>
        <w:t xml:space="preserve">”</w:t>
      </w:r>
      <w:r>
        <w:t xml:space="preserve"> </w:t>
      </w:r>
      <w:r>
        <w:t xml:space="preserve">The paragraph says nothing about</w:t>
      </w:r>
      <w:r>
        <w:t xml:space="preserve"> </w:t>
      </w:r>
      <w:r>
        <w:t xml:space="preserve">reporting a UAP hazard to air traffic control so that other aircraft can be warned; a controller who does</w:t>
      </w:r>
      <w:r>
        <w:t xml:space="preserve"> </w:t>
      </w:r>
      <w:r>
        <w:t xml:space="preserve">receive a report must inform the operations supervisor under JO 7110.65BB ¶9-8-1.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50 U.S.C. §3373(l)(5)</w:t>
      </w:r>
      <w:r>
        <w:t xml:space="preserve"> </w:t>
      </w:r>
      <w:r>
        <w:t xml:space="preserve">(FY2026 NDAA §1671): AARO briefings on NORAD and NORTHCOM intercepts.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NASA ASRS</w:t>
      </w:r>
      <w:r>
        <w:t xml:space="preserve">: the NASA UAP Independent Study Team recommended adapting the Aviation Safety Reporting System</w:t>
      </w:r>
      <w:r>
        <w:t xml:space="preserve"> </w:t>
      </w:r>
      <w:r>
        <w:t xml:space="preserve">for confidential UAP reports.</w:t>
      </w:r>
    </w:p>
    <w:p>
      <w:pPr>
        <w:pStyle w:val="Compact"/>
        <w:numPr>
          <w:ilvl w:val="0"/>
          <w:numId w:val="1003"/>
        </w:numPr>
      </w:pPr>
      <w:r>
        <w:rPr>
          <w:bCs/>
          <w:b/>
        </w:rPr>
        <w:t xml:space="preserve">Safe Airspace for Americans Act.</w:t>
      </w:r>
      <w:r>
        <w:t xml:space="preserve"> </w:t>
      </w:r>
      <w:r>
        <w:t xml:space="preserve">Introduced as H.R. 6967 (118th Cong., Jan. 11, 2024) and again as H.R.</w:t>
      </w:r>
      <w:r>
        <w:t xml:space="preserve"> </w:t>
      </w:r>
      <w:r>
        <w:t xml:space="preserve">5231 (119th Cong., Sept. 9, 2025; Reps. Garcia, Grothman, Moskowitz, Ogles), referred to Transportation and</w:t>
      </w:r>
      <w:r>
        <w:t xml:space="preserve"> </w:t>
      </w:r>
      <w:r>
        <w:t xml:space="preserve">Infrastructure and to Oversight; as of October 2026 the bill had no recorded action beyond added cosponsors. H.R. 5231 would require the FAA, within 180 days, to set procedures for collecting and</w:t>
      </w:r>
      <w:r>
        <w:t xml:space="preserve"> </w:t>
      </w:r>
      <w:r>
        <w:t xml:space="preserve">investigating UAP incidents reported by aircrew, controllers, and other aviation personnel, including</w:t>
      </w:r>
      <w:r>
        <w:t xml:space="preserve"> </w:t>
      </w:r>
      <w:r>
        <w:t xml:space="preserve">“</w:t>
      </w:r>
      <w:r>
        <w:t xml:space="preserve">immediately archiving</w:t>
      </w:r>
      <w:r>
        <w:t xml:space="preserve">”</w:t>
      </w:r>
      <w:r>
        <w:t xml:space="preserve"> </w:t>
      </w:r>
      <w:r>
        <w:t xml:space="preserve">pilot-controller communications and radar data (§2(a)(4)); share all reports and data</w:t>
      </w:r>
      <w:r>
        <w:t xml:space="preserve"> </w:t>
      </w:r>
      <w:r>
        <w:t xml:space="preserve">with AARO (§2(c)); bar use of reports in enforcement except for accidents or crimes (§2(d)); bar consideration</w:t>
      </w:r>
      <w:r>
        <w:t xml:space="preserve"> </w:t>
      </w:r>
      <w:r>
        <w:t xml:space="preserve">of UAP reports in airman medical and competency certification (§2(g)-(h)); and prohibit reprisal by federal</w:t>
      </w:r>
      <w:r>
        <w:t xml:space="preserve"> </w:t>
      </w:r>
      <w:r>
        <w:t xml:space="preserve">agencies, contractors, and air carriers, including cease-and-desist letters (§2(i)-(j)). Like the Joint Staff</w:t>
      </w:r>
      <w:r>
        <w:t xml:space="preserve"> </w:t>
      </w:r>
      <w:r>
        <w:t xml:space="preserve">order discussed above, the bill moves information from civil aviation to AARO; it contains no requirement that</w:t>
      </w:r>
      <w:r>
        <w:t xml:space="preserve"> </w:t>
      </w:r>
      <w:r>
        <w:t xml:space="preserve">DoD or AARO warn the FAA or operators of hazards detected by military sensors.</w:t>
      </w:r>
    </w:p>
    <w:bookmarkStart w:id="26" w:name="pilots-who-report"/>
    <w:p>
      <w:pPr>
        <w:pStyle w:val="Heading3"/>
      </w:pPr>
      <w:r>
        <w:t xml:space="preserve">2.1 Pilots who report</w:t>
      </w:r>
    </w:p>
    <w:p>
      <w:pPr>
        <w:pStyle w:val="FirstParagraph"/>
      </w:pPr>
      <w:r>
        <w:t xml:space="preserve">A pilot who reports a UAP and is disciplined or grounded by an airline for it has a federal remedy. AIR21, 49 U.S.C.</w:t>
      </w:r>
      <w:r>
        <w:t xml:space="preserve"> </w:t>
      </w:r>
      <w:r>
        <w:t xml:space="preserve">§42121, forbids an air carrier, a contractor, or a subcontractor to discharge or discriminate against an employee</w:t>
      </w:r>
      <w:r>
        <w:t xml:space="preserve"> </w:t>
      </w:r>
      <w:r>
        <w:t xml:space="preserve">who provides information about a violation, or alleged violation, of an FAA order, regulation, or standard, or any</w:t>
      </w:r>
      <w:r>
        <w:t xml:space="preserve"> </w:t>
      </w:r>
      <w:r>
        <w:t xml:space="preserve">federal law relating to air carrier safety; the employee must file with the Secretary of Labor within 90 days. A</w:t>
      </w:r>
      <w:r>
        <w:t xml:space="preserve"> </w:t>
      </w:r>
      <w:r>
        <w:t xml:space="preserve">report under the FAA’s own UAP procedures, or a report of a hazard to safety of flight, fits the statute. The pending</w:t>
      </w:r>
      <w:r>
        <w:t xml:space="preserve"> </w:t>
      </w:r>
      <w:r>
        <w:t xml:space="preserve">Safe Airspace for Americans Act would add UAP-specific protections (below), but AIR21 applies now.</w:t>
      </w:r>
      <w:r>
        <w:t xml:space="preserve"> </w:t>
      </w:r>
      <w:hyperlink r:id="rId24">
        <w:r>
          <w:rPr>
            <w:rStyle w:val="Hyperlink"/>
          </w:rPr>
          <w:t xml:space="preserve">Issue D7</w:t>
        </w:r>
      </w:hyperlink>
      <w:r>
        <w:t xml:space="preserve"> </w:t>
      </w:r>
      <w:r>
        <w:t xml:space="preserve">covers</w:t>
      </w:r>
      <w:r>
        <w:t xml:space="preserve"> </w:t>
      </w:r>
      <w:r>
        <w:t xml:space="preserve">pilots’ remedies, FAA investigations, and medical certification in full (</w:t>
      </w:r>
      <w:hyperlink r:id="rId25">
        <w:r>
          <w:rPr>
            <w:rStyle w:val="Hyperlink"/>
          </w:rPr>
          <w:t xml:space="preserve">Form D7-1</w:t>
        </w:r>
      </w:hyperlink>
      <w:r>
        <w:t xml:space="preserve">).</w:t>
      </w:r>
    </w:p>
    <w:bookmarkEnd w:id="26"/>
    <w:bookmarkStart w:id="27" w:name="airspace-closures"/>
    <w:p>
      <w:pPr>
        <w:pStyle w:val="Heading3"/>
      </w:pPr>
      <w:r>
        <w:t xml:space="preserve">2.2 Airspace closures</w:t>
      </w:r>
    </w:p>
    <w:p>
      <w:pPr>
        <w:pStyle w:val="FirstParagraph"/>
      </w:pPr>
      <w:r>
        <w:t xml:space="preserve">The FAA restricts airspace through temporary flight restrictions issued by NOTAM, including around hazard areas (14</w:t>
      </w:r>
      <w:r>
        <w:t xml:space="preserve"> </w:t>
      </w:r>
      <w:r>
        <w:t xml:space="preserve">C.F.R. §91.137), and through special security instructions issued</w:t>
      </w:r>
      <w:r>
        <w:t xml:space="preserve"> </w:t>
      </w:r>
      <w:r>
        <w:t xml:space="preserve">“</w:t>
      </w:r>
      <w:r>
        <w:t xml:space="preserve">pursuant to agreement between the FAA and the</w:t>
      </w:r>
      <w:r>
        <w:t xml:space="preserve"> </w:t>
      </w:r>
      <w:r>
        <w:t xml:space="preserve">Department of Defense, or between the FAA and a U.S. Federal security or intelligence agency</w:t>
      </w:r>
      <w:r>
        <w:t xml:space="preserve">”</w:t>
      </w:r>
      <w:r>
        <w:t xml:space="preserve"> </w:t>
      </w:r>
      <w:r>
        <w:t xml:space="preserve">(§99.7). The February</w:t>
      </w:r>
      <w:r>
        <w:t xml:space="preserve"> </w:t>
      </w:r>
      <w:r>
        <w:t xml:space="preserve">2023 shootdowns were preceded by closures of this kind. Records of who requested a restriction, and why, are the</w:t>
      </w:r>
      <w:r>
        <w:t xml:space="preserve"> </w:t>
      </w:r>
      <w:r>
        <w:t xml:space="preserve">first records to request after any incident (</w:t>
      </w:r>
      <w:hyperlink r:id="rId21">
        <w:r>
          <w:rPr>
            <w:rStyle w:val="Hyperlink"/>
          </w:rPr>
          <w:t xml:space="preserve">Form D4-1</w:t>
        </w:r>
      </w:hyperlink>
      <w:r>
        <w:t xml:space="preserve">).</w:t>
      </w:r>
    </w:p>
    <w:bookmarkEnd w:id="27"/>
    <w:bookmarkStart w:id="28" w:name="X91963f550dbacc64661bdb3f1e39bdcc7392b50"/>
    <w:p>
      <w:pPr>
        <w:pStyle w:val="Heading3"/>
      </w:pPr>
      <w:r>
        <w:t xml:space="preserve">2.3 What the military sees and civil controllers do not</w:t>
      </w:r>
    </w:p>
    <w:p>
      <w:pPr>
        <w:pStyle w:val="FirstParagraph"/>
      </w:pPr>
      <w:r>
        <w:t xml:space="preserve">A former director of the Navy’s UAP Task Force writes that FAA air traffic control is</w:t>
      </w:r>
      <w:r>
        <w:t xml:space="preserve"> </w:t>
      </w:r>
      <w:r>
        <w:t xml:space="preserve">“</w:t>
      </w:r>
      <w:r>
        <w:t xml:space="preserve">blind to anything without a</w:t>
      </w:r>
      <w:r>
        <w:t xml:space="preserve"> </w:t>
      </w:r>
      <w:r>
        <w:t xml:space="preserve">transponder,</w:t>
      </w:r>
      <w:r>
        <w:t xml:space="preserve">”</w:t>
      </w:r>
      <w:r>
        <w:t xml:space="preserve"> </w:t>
      </w:r>
      <w:r>
        <w:t xml:space="preserve">so an object detected by military sensors near an airliner may never reach the controller (Jay</w:t>
      </w:r>
      <w:r>
        <w:t xml:space="preserve"> </w:t>
      </w:r>
      <w:r>
        <w:t xml:space="preserve">Stratton,</w:t>
      </w:r>
      <w:r>
        <w:t xml:space="preserve"> </w:t>
      </w:r>
      <w:r>
        <w:rPr>
          <w:iCs/>
          <w:i/>
        </w:rPr>
        <w:t xml:space="preserve">Out of the Shadows</w:t>
      </w:r>
      <w:r>
        <w:t xml:space="preserve"> </w:t>
      </w:r>
      <w:r>
        <w:t xml:space="preserve">ch. 44 (2026)); the same author describes a near midair collision between Navy</w:t>
      </w:r>
      <w:r>
        <w:t xml:space="preserve"> </w:t>
      </w:r>
      <w:r>
        <w:t xml:space="preserve">aircraft and an unidentified object on December 13, 2014 (</w:t>
      </w:r>
      <w:r>
        <w:rPr>
          <w:iCs/>
          <w:i/>
        </w:rPr>
        <w:t xml:space="preserve">id.</w:t>
      </w:r>
      <w:r>
        <w:t xml:space="preserve"> </w:t>
      </w:r>
      <w:r>
        <w:t xml:space="preserve">ch. 24). On the site’s premise, the gap is deliberate</w:t>
      </w:r>
      <w:r>
        <w:t xml:space="preserve"> </w:t>
      </w:r>
      <w:r>
        <w:t xml:space="preserve">as well as technical: the military reporting chain runs to AARO, an office the site assumes is part of the</w:t>
      </w:r>
      <w:r>
        <w:t xml:space="preserve"> </w:t>
      </w:r>
      <w:r>
        <w:t xml:space="preserve">concealment, and nothing requires AARO or the commands to pass hazard information back to the FAA.</w:t>
      </w:r>
    </w:p>
    <w:bookmarkEnd w:id="28"/>
    <w:bookmarkEnd w:id="29"/>
    <w:bookmarkStart w:id="34" w:name="ftca-analysis"/>
    <w:p>
      <w:pPr>
        <w:pStyle w:val="Heading2"/>
      </w:pPr>
      <w:r>
        <w:t xml:space="preserve">3. FTCA analysis</w:t>
      </w:r>
    </w:p>
    <w:bookmarkStart w:id="30" w:name="discretionary-function"/>
    <w:p>
      <w:pPr>
        <w:pStyle w:val="Heading3"/>
      </w:pPr>
      <w:r>
        <w:t xml:space="preserve">3.1 Discretionary function</w:t>
      </w:r>
    </w:p>
    <w:p>
      <w:pPr>
        <w:pStyle w:val="FirstParagraph"/>
      </w:pPr>
      <w:r>
        <w:t xml:space="preserve">The exception bars claims</w:t>
      </w:r>
      <w:r>
        <w:t xml:space="preserve"> </w:t>
      </w:r>
      <w:r>
        <w:t xml:space="preserve">“</w:t>
      </w:r>
      <w:r>
        <w:t xml:space="preserve">based upon the exercise or performance or the failure to exercise or perform a</w:t>
      </w:r>
      <w:r>
        <w:t xml:space="preserve"> </w:t>
      </w:r>
      <w:r>
        <w:t xml:space="preserve">discretionary function or duty,</w:t>
      </w:r>
      <w:r>
        <w:t xml:space="preserve">”</w:t>
      </w:r>
      <w:r>
        <w:t xml:space="preserve"> </w:t>
      </w:r>
      <w:r>
        <w:t xml:space="preserve">28 U.S.C. §2680(a). Under</w:t>
      </w:r>
      <w:r>
        <w:t xml:space="preserve"> </w:t>
      </w:r>
      <w:r>
        <w:rPr>
          <w:iCs/>
          <w:i/>
        </w:rPr>
        <w:t xml:space="preserve">Berkovitz v. United States</w:t>
      </w:r>
      <w:r>
        <w:t xml:space="preserve">, 486 U.S. 531</w:t>
      </w:r>
      <w:r>
        <w:t xml:space="preserve"> </w:t>
      </w:r>
      <w:r>
        <w:t xml:space="preserve">(1988), and</w:t>
      </w:r>
      <w:r>
        <w:t xml:space="preserve"> </w:t>
      </w:r>
      <w:r>
        <w:rPr>
          <w:iCs/>
          <w:i/>
        </w:rPr>
        <w:t xml:space="preserve">United States v. Gaubert</w:t>
      </w:r>
      <w:r>
        <w:t xml:space="preserve">, 499 U.S. 315 (1991), conduct is protected if it involves judgment</w:t>
      </w:r>
      <w:r>
        <w:t xml:space="preserve"> </w:t>
      </w:r>
      <w:r>
        <w:t xml:space="preserve">or choice not controlled by a mandatory directive and is susceptible to policy analysis.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Decisions about whether to disclose classified detections</w:t>
      </w:r>
      <w:r>
        <w:t xml:space="preserve"> </w:t>
      </w:r>
      <w:r>
        <w:t xml:space="preserve">to the FAA or the public involve security</w:t>
      </w:r>
      <w:r>
        <w:t xml:space="preserve"> </w:t>
      </w:r>
      <w:r>
        <w:t xml:space="preserve">trade-offs and will usually be protected.</w:t>
      </w:r>
      <w:r>
        <w:t xml:space="preserve"> </w:t>
      </w:r>
      <w:r>
        <w:rPr>
          <w:iCs/>
          <w:i/>
        </w:rPr>
        <w:t xml:space="preserve">Allen</w:t>
      </w:r>
      <w:r>
        <w:t xml:space="preserve"> </w:t>
      </w:r>
      <w:r>
        <w:t xml:space="preserve">is the closest precedent: the government’s choices about</w:t>
      </w:r>
      <w:r>
        <w:t xml:space="preserve"> </w:t>
      </w:r>
      <w:r>
        <w:t xml:space="preserve">monitoring and informing the public of fallout risks were protected even though the plaintiffs suffered</w:t>
      </w:r>
      <w:r>
        <w:t xml:space="preserve"> </w:t>
      </w:r>
      <w:r>
        <w:t xml:space="preserve">grave harm.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FAA oversight decisions</w:t>
      </w:r>
      <w:r>
        <w:t xml:space="preserve"> </w:t>
      </w:r>
      <w:r>
        <w:t xml:space="preserve">are a hard case for plaintiffs. The Supreme Court held that the FAA’s decision to</w:t>
      </w:r>
      <w:r>
        <w:t xml:space="preserve"> </w:t>
      </w:r>
      <w:r>
        <w:t xml:space="preserve">“</w:t>
      </w:r>
      <w:r>
        <w:t xml:space="preserve">spot-check</w:t>
      </w:r>
      <w:r>
        <w:t xml:space="preserve">”</w:t>
      </w:r>
      <w:r>
        <w:t xml:space="preserve"> </w:t>
      </w:r>
      <w:r>
        <w:t xml:space="preserve">aircraft for compliance with safety standards was a discretionary policy choice.</w:t>
      </w:r>
      <w:r>
        <w:t xml:space="preserve"> </w:t>
      </w:r>
      <w:r>
        <w:rPr>
          <w:iCs/>
          <w:i/>
        </w:rPr>
        <w:t xml:space="preserve">United States v.</w:t>
      </w:r>
      <w:r>
        <w:rPr>
          <w:iCs/>
          <w:i/>
        </w:rPr>
        <w:t xml:space="preserve"> </w:t>
      </w:r>
      <w:r>
        <w:rPr>
          <w:iCs/>
          <w:i/>
        </w:rPr>
        <w:t xml:space="preserve">S.A. Empresa de Viacao Aerea Rio Grandense (Varig Airlines)</w:t>
      </w:r>
      <w:r>
        <w:t xml:space="preserve">, 467 U.S. 797, 819-20 (1984). A claim that the FAA</w:t>
      </w:r>
      <w:r>
        <w:t xml:space="preserve"> </w:t>
      </w:r>
      <w:r>
        <w:t xml:space="preserve">should have built a system to detect or share UAP information meets</w:t>
      </w:r>
      <w:r>
        <w:t xml:space="preserve"> </w:t>
      </w:r>
      <w:r>
        <w:rPr>
          <w:iCs/>
          <w:i/>
        </w:rPr>
        <w:t xml:space="preserve">Varig</w:t>
      </w:r>
      <w:r>
        <w:t xml:space="preserve">; a claim that a controller failed to</w:t>
      </w:r>
      <w:r>
        <w:t xml:space="preserve"> </w:t>
      </w:r>
      <w:r>
        <w:t xml:space="preserve">follow an existing UAP reporting rule does not.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Mandatory directives</w:t>
      </w:r>
      <w:r>
        <w:t xml:space="preserve"> </w:t>
      </w:r>
      <w:r>
        <w:t xml:space="preserve">defeat the exception. If a regulation, order, or statute requires a specific</w:t>
      </w:r>
      <w:r>
        <w:t xml:space="preserve"> </w:t>
      </w:r>
      <w:r>
        <w:t xml:space="preserve">notification (for example, the FAA notices for controllers, or a DoD instruction requiring notice to the</w:t>
      </w:r>
      <w:r>
        <w:t xml:space="preserve"> </w:t>
      </w:r>
      <w:r>
        <w:t xml:space="preserve">FAA of hazards to aviation), a failure to follow it is not protected. Practitioners should obtain all</w:t>
      </w:r>
      <w:r>
        <w:t xml:space="preserve"> </w:t>
      </w:r>
      <w:r>
        <w:t xml:space="preserve">applicable orders (FAA JO 7110.65, JO 7610.4 (special operations), NORAD and DoD airspace coordination</w:t>
      </w:r>
      <w:r>
        <w:t xml:space="preserve"> </w:t>
      </w:r>
      <w:r>
        <w:t xml:space="preserve">instructions).</w:t>
      </w:r>
    </w:p>
    <w:p>
      <w:pPr>
        <w:pStyle w:val="Compact"/>
        <w:numPr>
          <w:ilvl w:val="0"/>
          <w:numId w:val="1004"/>
        </w:numPr>
      </w:pPr>
      <w:r>
        <w:rPr>
          <w:bCs/>
          <w:b/>
        </w:rPr>
        <w:t xml:space="preserve">Operational negligence</w:t>
      </w:r>
      <w:r>
        <w:t xml:space="preserve"> </w:t>
      </w:r>
      <w:r>
        <w:t xml:space="preserve">in performing a service already undertaken (for example, a controller who</w:t>
      </w:r>
      <w:r>
        <w:t xml:space="preserve"> </w:t>
      </w:r>
      <w:r>
        <w:t xml:space="preserve">receives a UAP hazard report and fails to relay it) is generally not protected.</w:t>
      </w:r>
    </w:p>
    <w:bookmarkEnd w:id="30"/>
    <w:bookmarkStart w:id="32" w:name="other-ftca-limits"/>
    <w:p>
      <w:pPr>
        <w:pStyle w:val="Heading3"/>
      </w:pPr>
      <w:r>
        <w:t xml:space="preserve">3.2 Other FTCA limits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Combatant activities</w:t>
      </w:r>
      <w:r>
        <w:t xml:space="preserve"> </w:t>
      </w:r>
      <w:r>
        <w:t xml:space="preserve">(§2680(j)) bars claims</w:t>
      </w:r>
      <w:r>
        <w:t xml:space="preserve"> </w:t>
      </w:r>
      <w:r>
        <w:t xml:space="preserve">“</w:t>
      </w:r>
      <w:r>
        <w:t xml:space="preserve">arising out of the combatant activities of the military</w:t>
      </w:r>
      <w:r>
        <w:t xml:space="preserve"> </w:t>
      </w:r>
      <w:r>
        <w:t xml:space="preserve">or naval forces … during time of war.</w:t>
      </w:r>
      <w:r>
        <w:t xml:space="preserve">”</w:t>
      </w:r>
      <w:r>
        <w:t xml:space="preserve"> </w:t>
      </w:r>
      <w:r>
        <w:t xml:space="preserve">Its application to domestic intercepts is doubtful.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Feres v. United States</w:t>
      </w:r>
      <w:r>
        <w:t xml:space="preserve">, 340 U.S. 135 (1950), bars service members’ claims incident to service.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State secrets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Issue A1</w:t>
        </w:r>
      </w:hyperlink>
      <w:r>
        <w:t xml:space="preserve">) may block proof of what the government knew.</w:t>
      </w:r>
    </w:p>
    <w:p>
      <w:pPr>
        <w:pStyle w:val="Compact"/>
        <w:numPr>
          <w:ilvl w:val="0"/>
          <w:numId w:val="1005"/>
        </w:numPr>
      </w:pPr>
      <w:r>
        <w:rPr>
          <w:bCs/>
          <w:b/>
        </w:rPr>
        <w:t xml:space="preserve">Foreign country exception</w:t>
      </w:r>
      <w:r>
        <w:t xml:space="preserve"> </w:t>
      </w:r>
      <w:r>
        <w:t xml:space="preserve">(§2680(k)) for injuries abroad.</w:t>
      </w:r>
    </w:p>
    <w:bookmarkEnd w:id="32"/>
    <w:bookmarkStart w:id="33" w:name="contractor-liability"/>
    <w:p>
      <w:pPr>
        <w:pStyle w:val="Heading3"/>
      </w:pPr>
      <w:r>
        <w:t xml:space="preserve">3.3 Contractor liability</w:t>
      </w:r>
    </w:p>
    <w:p>
      <w:pPr>
        <w:pStyle w:val="FirstParagraph"/>
      </w:pPr>
      <w:r>
        <w:t xml:space="preserve">Contractors operating sensors or conducting tests may be sued under state law. After</w:t>
      </w:r>
      <w:r>
        <w:t xml:space="preserve"> </w:t>
      </w:r>
      <w:r>
        <w:rPr>
          <w:iCs/>
          <w:i/>
        </w:rPr>
        <w:t xml:space="preserve">Hencely v. Fluor</w:t>
      </w:r>
      <w:r>
        <w:rPr>
          <w:iCs/>
          <w:i/>
        </w:rPr>
        <w:t xml:space="preserve"> </w:t>
      </w:r>
      <w:r>
        <w:rPr>
          <w:iCs/>
          <w:i/>
        </w:rPr>
        <w:t xml:space="preserve">Corp.</w:t>
      </w:r>
      <w:r>
        <w:t xml:space="preserve">, 608 U.S. 31 (2026), preemption is unlikely where the contractor’s conduct was not required or</w:t>
      </w:r>
      <w:r>
        <w:t xml:space="preserve"> </w:t>
      </w:r>
      <w:r>
        <w:t xml:space="preserve">authorized by the government. The government contractor defense (</w:t>
      </w:r>
      <w:r>
        <w:rPr>
          <w:iCs/>
          <w:i/>
        </w:rPr>
        <w:t xml:space="preserve">Boyle v. United Technologies Corp.</w:t>
      </w:r>
      <w:r>
        <w:t xml:space="preserve">, 487</w:t>
      </w:r>
      <w:r>
        <w:t xml:space="preserve"> </w:t>
      </w:r>
      <w:r>
        <w:t xml:space="preserve">U.S. 500 (1988)) applies to design defects in military equipment that conform to government specifications.</w:t>
      </w:r>
    </w:p>
    <w:bookmarkEnd w:id="33"/>
    <w:bookmarkEnd w:id="34"/>
    <w:bookmarkStart w:id="35" w:name="international-aviation-law"/>
    <w:p>
      <w:pPr>
        <w:pStyle w:val="Heading2"/>
      </w:pPr>
      <w:r>
        <w:t xml:space="preserve">4. International aviation law</w:t>
      </w:r>
    </w:p>
    <w:p>
      <w:pPr>
        <w:pStyle w:val="FirstParagraph"/>
      </w:pPr>
      <w:r>
        <w:t xml:space="preserve">The Chicago Convention (1944) and its Annexes (Annex 11 air traffic services; Annex 13 accident</w:t>
      </w:r>
      <w:r>
        <w:t xml:space="preserve"> </w:t>
      </w:r>
      <w:r>
        <w:t xml:space="preserve">investigation) require states to provide air traffic services and investigate accidents. Under Annex 13, Chapter 5,</w:t>
      </w:r>
      <w:r>
        <w:t xml:space="preserve"> </w:t>
      </w:r>
      <w:r>
        <w:t xml:space="preserve">the State of Occurrence institutes and conducts the investigation, and other States are expected to provide, on</w:t>
      </w:r>
      <w:r>
        <w:t xml:space="preserve"> </w:t>
      </w:r>
      <w:r>
        <w:t xml:space="preserve">request, the information they hold that is relevant to it. If a UAP were implicated in an accident abroad, the</w:t>
      </w:r>
      <w:r>
        <w:t xml:space="preserve"> </w:t>
      </w:r>
      <w:r>
        <w:t xml:space="preserve">foreign investigating authority could ask the United States for military radar and sensor data; the United States</w:t>
      </w:r>
      <w:r>
        <w:t xml:space="preserve"> </w:t>
      </w:r>
      <w:r>
        <w:t xml:space="preserve">would answer subject to its national security limits, and Annex 13’s standards are obligations of states, not</w:t>
      </w:r>
      <w:r>
        <w:t xml:space="preserve"> </w:t>
      </w:r>
      <w:r>
        <w:t xml:space="preserve">rights a private party can enforce in U.S. court.</w:t>
      </w:r>
    </w:p>
    <w:bookmarkEnd w:id="35"/>
    <w:bookmarkStart w:id="36" w:name="a.-accident-investigation"/>
    <w:p>
      <w:pPr>
        <w:pStyle w:val="Heading2"/>
      </w:pPr>
      <w:r>
        <w:t xml:space="preserve">4A. Accident investigation</w:t>
      </w:r>
    </w:p>
    <w:p>
      <w:pPr>
        <w:pStyle w:val="FirstParagraph"/>
      </w:pPr>
      <w:r>
        <w:t xml:space="preserve">The NTSB investigates</w:t>
      </w:r>
      <w:r>
        <w:t xml:space="preserve"> </w:t>
      </w:r>
      <w:r>
        <w:t xml:space="preserve">“</w:t>
      </w:r>
      <w:r>
        <w:t xml:space="preserve">each accident involving civil aircraft</w:t>
      </w:r>
      <w:r>
        <w:t xml:space="preserve">”</w:t>
      </w:r>
      <w:r>
        <w:t xml:space="preserve"> </w:t>
      </w:r>
      <w:r>
        <w:t xml:space="preserve">and,</w:t>
      </w:r>
      <w:r>
        <w:t xml:space="preserve"> </w:t>
      </w:r>
      <w:r>
        <w:t xml:space="preserve">“</w:t>
      </w:r>
      <w:r>
        <w:t xml:space="preserve">with the participation of appropriate military</w:t>
      </w:r>
      <w:r>
        <w:t xml:space="preserve"> </w:t>
      </w:r>
      <w:r>
        <w:t xml:space="preserve">authorities, each accident involving both military and civil aircraft</w:t>
      </w:r>
      <w:r>
        <w:t xml:space="preserve">”</w:t>
      </w:r>
      <w:r>
        <w:t xml:space="preserve"> </w:t>
      </w:r>
      <w:r>
        <w:t xml:space="preserve">(49 U.S.C. §1132(a)(1)). An NTSB investigation</w:t>
      </w:r>
      <w:r>
        <w:t xml:space="preserve"> </w:t>
      </w:r>
      <w:r>
        <w:t xml:space="preserve">has priority over any other federal agency’s investigation, except where the Attorney General suspects a criminal</w:t>
      </w:r>
      <w:r>
        <w:t xml:space="preserve"> </w:t>
      </w:r>
      <w:r>
        <w:t xml:space="preserve">act (49 C.F.R. §831.5(a)(1)). Counsel for victims should ask the NTSB at the outset to request military radar and</w:t>
      </w:r>
      <w:r>
        <w:t xml:space="preserve"> </w:t>
      </w:r>
      <w:r>
        <w:t xml:space="preserve">sensor data, since the Board’s priority is the strongest lever a private party has to get that data into the</w:t>
      </w:r>
      <w:r>
        <w:t xml:space="preserve"> </w:t>
      </w:r>
      <w:r>
        <w:t xml:space="preserve">record.</w:t>
      </w:r>
    </w:p>
    <w:bookmarkEnd w:id="36"/>
    <w:bookmarkStart w:id="38" w:name="practice-points"/>
    <w:p>
      <w:pPr>
        <w:pStyle w:val="Heading2"/>
      </w:pPr>
      <w:r>
        <w:t xml:space="preserve">5. Practice points</w:t>
      </w:r>
    </w:p>
    <w:p>
      <w:pPr>
        <w:pStyle w:val="Compact"/>
        <w:numPr>
          <w:ilvl w:val="0"/>
          <w:numId w:val="1006"/>
        </w:numPr>
      </w:pPr>
      <w:r>
        <w:t xml:space="preserve">After any incident with a possible UAP factor, send preservation demands to the FAA, NORAD/NORTHCOM, the</w:t>
      </w:r>
      <w:r>
        <w:t xml:space="preserve"> </w:t>
      </w:r>
      <w:r>
        <w:t xml:space="preserve">relevant military units, and AARO (</w:t>
      </w:r>
      <w:hyperlink r:id="rId37">
        <w:r>
          <w:rPr>
            <w:rStyle w:val="Hyperlink"/>
          </w:rPr>
          <w:t xml:space="preserve">Form A3-2</w:t>
        </w:r>
      </w:hyperlink>
      <w:r>
        <w:t xml:space="preserve"> </w:t>
      </w:r>
      <w:r>
        <w:t xml:space="preserve">adapted;</w:t>
      </w:r>
      <w:r>
        <w:t xml:space="preserve"> </w:t>
      </w:r>
      <w:hyperlink r:id="rId21">
        <w:r>
          <w:rPr>
            <w:rStyle w:val="Hyperlink"/>
          </w:rPr>
          <w:t xml:space="preserve">Form D4-1</w:t>
        </w:r>
      </w:hyperlink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Request NTSB involvement and data from all sources, including military radar.</w:t>
      </w:r>
    </w:p>
    <w:p>
      <w:pPr>
        <w:pStyle w:val="Compact"/>
        <w:numPr>
          <w:ilvl w:val="0"/>
          <w:numId w:val="1006"/>
        </w:numPr>
      </w:pPr>
      <w:r>
        <w:t xml:space="preserve">Identify mandatory directives that required notification.</w:t>
      </w:r>
    </w:p>
    <w:p>
      <w:pPr>
        <w:pStyle w:val="Compact"/>
        <w:numPr>
          <w:ilvl w:val="0"/>
          <w:numId w:val="1006"/>
        </w:numPr>
      </w:pPr>
      <w:r>
        <w:t xml:space="preserve">File FTCA administrative claims (SF-95) within two years (28 U.S.C. §2401(b)).</w:t>
      </w:r>
    </w:p>
    <w:p>
      <w:pPr>
        <w:pStyle w:val="Compact"/>
        <w:numPr>
          <w:ilvl w:val="0"/>
          <w:numId w:val="1006"/>
        </w:numPr>
      </w:pPr>
      <w:r>
        <w:t xml:space="preserve">Consider contractor defendants in state court.</w:t>
      </w:r>
    </w:p>
    <w:p>
      <w:pPr>
        <w:pStyle w:val="Compact"/>
        <w:numPr>
          <w:ilvl w:val="0"/>
          <w:numId w:val="1006"/>
        </w:numPr>
      </w:pPr>
      <w:r>
        <w:t xml:space="preserve">For a pilot client disciplined after a report, file an AIR21 complaint with OSHA within 90 days.</w:t>
      </w:r>
    </w:p>
    <w:p>
      <w:pPr>
        <w:pStyle w:val="Compact"/>
        <w:numPr>
          <w:ilvl w:val="0"/>
          <w:numId w:val="1006"/>
        </w:numPr>
      </w:pPr>
      <w:r>
        <w:t xml:space="preserve">For passengers on international flights, the carrier’s liability is governed by the Montreal Convention (Issue</w:t>
      </w:r>
      <w:r>
        <w:t xml:space="preserve"> </w:t>
      </w:r>
      <w:r>
        <w:t xml:space="preserve">E5).</w:t>
      </w:r>
    </w:p>
    <w:p>
      <w:pPr>
        <w:pStyle w:val="Compact"/>
        <w:numPr>
          <w:ilvl w:val="0"/>
          <w:numId w:val="1006"/>
        </w:numPr>
      </w:pPr>
      <w:r>
        <w:t xml:space="preserve">Advocate for statutory compensation if discretionary-function barriers block recovery.</w:t>
      </w:r>
    </w:p>
    <w:bookmarkEnd w:id="38"/>
    <w:sectPr>
      <w:headerReference w:type="default" r:id="rId9"/>
      <w:footerReference w:type="default" r:id="rId10"/>
      <w:pgSz w:h="15840" w:w="12240"/>
      <w:pgMar w:bottom="1440" w:left="1440" w:right="1440" w:top="1440" w:header="720" w:footer="576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space="4" w:color="9AA5AE"/>
      </w:pBdr>
      <w:tabs>
        <w:tab w:pos="9360" w:val="right"/>
      </w:tabs>
    </w:pPr>
    <w:r>
      <w:rPr>
        <w:rFonts w:ascii="Cambria" w:hAnsi="Cambria" w:cs="Cambria" w:eastAsia="Cambria"/>
        <w:color w:val="55606B"/>
        <w:sz w:val="17"/>
      </w:rPr>
      <w:t>UAP and Aviation Safety: Detection, Notification Duties, and Government ...</w:t>
    </w:r>
    <w:r>
      <w:rPr>
        <w:rFonts w:ascii="Cambria" w:hAnsi="Cambria" w:cs="Cambria" w:eastAsia="Cambria"/>
        <w:color w:val="55606B"/>
        <w:sz w:val="17"/>
      </w:rPr>
      <w:tab/>
      <w:t xml:space="preserve">Page </w:t>
    </w:r>
    <w:r>
      <w:rPr>
        <w:rFonts w:ascii="Cambria" w:hAnsi="Cambria" w:cs="Cambria" w:eastAsia="Cambria"/>
        <w:sz w:val="17"/>
      </w:rPr>
      <w:fldChar w:fldCharType="begin"/>
    </w:r>
    <w:r>
      <w:rPr>
        <w:rFonts w:ascii="Cambria" w:hAnsi="Cambria" w:cs="Cambria" w:eastAsia="Cambria"/>
        <w:sz w:val="17"/>
      </w:rPr>
      <w:instrText xml:space="preserve"> PAGE </w:instrText>
    </w:r>
    <w:r>
      <w:rPr>
        <w:rFonts w:ascii="Cambria" w:hAnsi="Cambria" w:cs="Cambria" w:eastAsia="Cambria"/>
        <w:sz w:val="17"/>
      </w:rPr>
      <w:fldChar w:fldCharType="separate"/>
    </w:r>
    <w:r>
      <w:rPr>
        <w:rFonts w:ascii="Cambria" w:hAnsi="Cambria" w:cs="Cambria" w:eastAsia="Cambria"/>
        <w:sz w:val="17"/>
      </w:rPr>
      <w:t>1</w:t>
    </w:r>
    <w:r>
      <w:rPr>
        <w:rFonts w:ascii="Cambria" w:hAnsi="Cambria" w:cs="Cambria" w:eastAsia="Cambria"/>
        <w:sz w:val="17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BodyText" w:type="paragraph">
    <w:name w:val="Body Text"/>
    <w:basedOn w:val="Normal"/>
    <w:link w:val="BodyTextChar"/>
    <w:pPr>
      <w:spacing w:after="160" w:before="0" w:line="259" w:lineRule="auto"/>
    </w:pPr>
    <w:qFormat/>
    <w:rPr>
      <w:rFonts w:ascii="Cambria" w:cs="Cambria" w:eastAsia="Cambria" w:hAnsi="Cambria"/>
      <w:color w:val="000000"/>
      <w:sz w:val="23"/>
    </w:rPr>
  </w:style>
  <w:style w:customStyle="1" w:styleId="FirstParagraph" w:type="paragraph">
    <w:name w:val="First Paragraph"/>
    <w:basedOn w:val="BodyText"/>
    <w:next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customStyle="1" w:styleId="Compact" w:type="paragraph">
    <w:name w:val="Compact"/>
    <w:basedOn w:val="BodyText"/>
    <w:qFormat/>
    <w:pPr>
      <w:spacing w:after="160" w:before="0" w:line="259" w:lineRule="auto"/>
    </w:pPr>
    <w:rPr>
      <w:rFonts w:ascii="Cambria" w:cs="Cambria" w:eastAsia="Cambria" w:hAnsi="Cambria"/>
      <w:color w:val="000000"/>
      <w:sz w:val="23"/>
    </w:rPr>
  </w:style>
  <w:style w:styleId="Title" w:type="paragraph">
    <w:name w:val="Title"/>
    <w:basedOn w:val="Normal"/>
    <w:next w:val="BodyText"/>
    <w:qFormat/>
    <w:pPr>
      <w:keepNext/>
      <w:keepLines/>
      <w:spacing w:after="160" w:before="480"/>
      <w:jc w:val="left"/>
    </w:pPr>
    <w:rPr>
      <w:rFonts w:ascii="Cambria" w:cs="Cambria" w:eastAsia="Cambria" w:hAnsi="Cambria"/>
      <w:b/>
      <w:bCs/>
      <w:color w:val="1A2B3C"/>
      <w:sz w:val="40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160" w:before="240"/>
      <w:jc w:val="left"/>
    </w:pPr>
    <w:rPr>
      <w:rFonts w:ascii="Cambria" w:cs="Cambria" w:eastAsia="Cambria" w:hAnsi="Cambria"/>
      <w:color w:val="1A2B3C"/>
      <w:sz w:val="22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mbria" w:cs="Cambria" w:eastAsia="Cambria" w:hAnsi="Cambria"/>
      <w:color w:val="00000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color w:val="000000"/>
      <w:sz w:val="20"/>
      <w:szCs w:val="20"/>
      <w:rFonts w:ascii="Cambria" w:cs="Cambria" w:eastAsia="Cambria" w:hAnsi="Cambria"/>
      <w:b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mbria" w:cs="Cambria" w:eastAsia="Cambria" w:hAnsi="Cambria"/>
      <w:color w:val="000000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mbria" w:cs="Cambria" w:eastAsia="Cambria" w:hAnsi="Cambria"/>
      <w:color w:val="000000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80"/>
      <w:outlineLvl w:val="0"/>
    </w:pPr>
    <w:rPr>
      <w:rFonts w:ascii="Cambria" w:cs="Cambria" w:eastAsia="Cambria" w:hAnsi="Cambria"/>
      <w:b/>
      <w:bCs/>
      <w:i w:val="0"/>
      <w:color w:val="1A2B3C"/>
      <w:sz w:val="30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00"/>
      <w:outlineLvl w:val="1"/>
    </w:pPr>
    <w:rPr>
      <w:rFonts w:ascii="Cambria" w:cs="Cambria" w:eastAsia="Cambria" w:hAnsi="Cambria"/>
      <w:b/>
      <w:bCs/>
      <w:i w:val="0"/>
      <w:color w:val="1A2B3C"/>
      <w:sz w:val="25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00"/>
      <w:outlineLvl w:val="2"/>
    </w:pPr>
    <w:rPr>
      <w:rFonts w:ascii="Cambria" w:cs="Cambria" w:eastAsia="Cambria" w:hAnsi="Cambria"/>
      <w:b/>
      <w:bCs/>
      <w:i w:val="0"/>
      <w:color w:val="1A2B3C"/>
      <w:sz w:val="23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00"/>
      <w:outlineLvl w:val="3"/>
    </w:pPr>
    <w:rPr>
      <w:rFonts w:ascii="Cambria" w:cs="Cambria" w:eastAsia="Cambria" w:hAnsi="Cambria"/>
      <w:i w:val="0"/>
      <w:b/>
      <w:bCs/>
      <w:color w:val="1A2B3C"/>
      <w:sz w:val="23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mbria" w:cs="Cambria" w:eastAsia="Cambria" w:hAnsi="Cambria"/>
      <w:iCs/>
      <w:color w:val="000000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mbria" w:cs="Cambria" w:eastAsia="Cambria" w:hAnsi="Cambria"/>
      <w:color w:val="000000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mbria" w:cs="Cambria" w:eastAsia="Cambria" w:hAnsi="Cambria"/>
      <w:color w:val="000000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mbria" w:cs="Cambria" w:eastAsia="Cambria" w:hAnsi="Cambria"/>
      <w:color w:val="000000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mbria" w:cs="Cambria" w:eastAsia="Cambria" w:hAnsi="Cambria"/>
      <w:color w:val="000000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60" w:before="0" w:line="259" w:lineRule="auto"/>
      <w:ind w:firstLine="0" w:left="720" w:right="720"/>
    </w:pPr>
    <w:rPr>
      <w:rFonts w:ascii="Cambria" w:cs="Cambria" w:eastAsia="Cambria" w:hAnsi="Cambria"/>
      <w:color w:val="000000"/>
      <w:sz w:val="23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mbria" w:cs="Cambria" w:eastAsia="Cambria" w:hAnsi="Cambria"/>
      <w:color w:val="000000"/>
    </w:rPr>
  </w:style>
  <w:style w:default="1" w:styleId="DefaultParagraphFont" w:type="character">
    <w:name w:val="Default Paragraph Font"/>
    <w:semiHidden/>
    <w:unhideWhenUsed/>
    <w:rPr>
      <w:rFonts w:ascii="Cambria" w:cs="Cambria" w:eastAsia="Cambria" w:hAnsi="Cambria"/>
      <w:color w:val="000000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1A2B3C" w:space="0" w:sz="8" w:val="single"/>
        <w:bottom w:color="1A2B3C" w:space="0" w:sz="8" w:val="single"/>
        <w:insideH w:color="9AA5AE" w:space="0" w:sz="4" w:val="single"/>
      </w:tblBorders>
      <w:tblCellMar>
        <w:top w:type="dxa" w:w="0"/>
        <w:left w:type="dxa" w:w="108"/>
        <w:bottom w:type="dxa" w:w="0"/>
        <w:right w:type="dxa" w:w="108"/>
      </w:tblCellMar>
      <w:tblCellMar>
        <w:top w:type="dxa" w:w="50"/>
        <w:bottom w:type="dxa" w:w="50"/>
        <w:left w:type="dxa" w:w="80"/>
        <w:right w:type="dxa" w:w="80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mbria" w:cs="Cambria" w:eastAsia="Cambria" w:hAnsi="Cambria"/>
      <w:b/>
      <w:color w:val="000000"/>
    </w:rPr>
  </w:style>
  <w:style w:customStyle="1" w:styleId="Definition" w:type="paragraph">
    <w:name w:val="Definition"/>
    <w:basedOn w:val="Normal"/>
    <w:rPr>
      <w:rFonts w:ascii="Cambria" w:cs="Cambria" w:eastAsia="Cambria" w:hAnsi="Cambria"/>
      <w:color w:val="000000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mbria" w:cs="Cambria" w:eastAsia="Cambria" w:hAnsi="Cambria"/>
      <w:i/>
      <w:color w:val="000000"/>
    </w:rPr>
  </w:style>
  <w:style w:customStyle="1" w:styleId="TableCaption" w:type="paragraph">
    <w:name w:val="Table Caption"/>
    <w:basedOn w:val="Caption"/>
    <w:pPr>
      <w:keepNext/>
    </w:pPr>
    <w:rPr>
      <w:rFonts w:ascii="Cambria" w:cs="Cambria" w:eastAsia="Cambria" w:hAnsi="Cambria"/>
      <w:color w:val="000000"/>
    </w:rPr>
  </w:style>
  <w:style w:customStyle="1" w:styleId="ImageCaption" w:type="paragraph">
    <w:name w:val="Image Caption"/>
    <w:basedOn w:val="Caption"/>
    <w:rPr>
      <w:rFonts w:ascii="Cambria" w:cs="Cambria" w:eastAsia="Cambria" w:hAnsi="Cambria"/>
      <w:color w:val="000000"/>
    </w:rPr>
  </w:style>
  <w:style w:customStyle="1" w:styleId="Figure" w:type="paragraph">
    <w:name w:val="Figure"/>
    <w:basedOn w:val="Normal"/>
    <w:rPr>
      <w:rFonts w:ascii="Cambria" w:cs="Cambria" w:eastAsia="Cambria" w:hAnsi="Cambria"/>
      <w:color w:val="000000"/>
    </w:rPr>
  </w:style>
  <w:style w:customStyle="1" w:styleId="CaptionedFigure" w:type="paragraph">
    <w:name w:val="Captioned Figure"/>
    <w:basedOn w:val="Figure"/>
    <w:pPr>
      <w:keepNext/>
    </w:pPr>
    <w:rPr>
      <w:rFonts w:ascii="Cambria" w:cs="Cambria" w:eastAsia="Cambria" w:hAnsi="Cambria"/>
      <w:color w:val="000000"/>
    </w:rPr>
  </w:style>
  <w:style w:customStyle="1" w:styleId="BodyTextChar" w:type="character">
    <w:name w:val="Body Text Char"/>
    <w:basedOn w:val="DefaultParagraphFont"/>
    <w:link w:val="BodyText"/>
    <w:rPr>
      <w:rFonts w:ascii="Cambria" w:cs="Cambria" w:eastAsia="Cambria" w:hAnsi="Cambria"/>
      <w:color w:val="000000"/>
    </w:rPr>
  </w:style>
  <w:style w:customStyle="1" w:styleId="VerbatimChar" w:type="character">
    <w:name w:val="Verbatim Char"/>
    <w:basedOn w:val="BodyTextChar"/>
    <w:rPr>
      <w:rFonts w:ascii="Cambria" w:cs="Cambria" w:eastAsia="Cambria" w:hAnsi="Cambria"/>
      <w:color w:val="000000"/>
      <w:sz w:val="22"/>
    </w:rPr>
  </w:style>
  <w:style w:customStyle="1" w:styleId="SectionNumber" w:type="character">
    <w:name w:val="Section Number"/>
    <w:basedOn w:val="BodyTextChar"/>
    <w:rPr>
      <w:rFonts w:ascii="Cambria" w:cs="Cambria" w:eastAsia="Cambria" w:hAnsi="Cambria"/>
      <w:color w:val="000000"/>
    </w:rPr>
  </w:style>
  <w:style w:styleId="FootnoteReference" w:type="character">
    <w:name w:val="Footnote Reference"/>
    <w:basedOn w:val="BodyTextChar"/>
    <w:rPr>
      <w:rFonts w:ascii="Cambria" w:cs="Cambria" w:eastAsia="Cambria" w:hAnsi="Cambria"/>
      <w:color w:val="000000"/>
      <w:vertAlign w:val="superscript"/>
    </w:rPr>
  </w:style>
  <w:style w:styleId="Hyperlink" w:type="character">
    <w:name w:val="Hyperlink"/>
    <w:basedOn w:val="BodyTextChar"/>
    <w:rPr>
      <w:rFonts w:ascii="Cambria" w:cs="Cambria" w:eastAsia="Cambria" w:hAnsi="Cambria"/>
      <w:color w:val="1F6E6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mbria" w:cs="Cambria" w:eastAsia="Cambria" w:hAnsi="Cambria"/>
      <w:b w:val="0"/>
      <w:bCs w:val="0"/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0" Type="http://schemas.openxmlformats.org/officeDocument/2006/relationships/hyperlink" Target="https://emergentfrontiers.com" TargetMode="External"/><Relationship Id="rId37" Type="http://schemas.openxmlformats.org/officeDocument/2006/relationships/hyperlink" Target="https://nhilaw.com/forms/a3-2.html" TargetMode="External"/><Relationship Id="rId21" Type="http://schemas.openxmlformats.org/officeDocument/2006/relationships/hyperlink" Target="https://nhilaw.com/forms/d4-1.html" TargetMode="External"/><Relationship Id="rId25" Type="http://schemas.openxmlformats.org/officeDocument/2006/relationships/hyperlink" Target="https://nhilaw.com/forms/d7-1.html" TargetMode="External"/><Relationship Id="rId31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d7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0" Type="http://schemas.openxmlformats.org/officeDocument/2006/relationships/hyperlink" Target="https://emergentfrontiers.com" TargetMode="External"/><Relationship Id="rId37" Type="http://schemas.openxmlformats.org/officeDocument/2006/relationships/hyperlink" Target="https://nhilaw.com/forms/a3-2.html" TargetMode="External"/><Relationship Id="rId21" Type="http://schemas.openxmlformats.org/officeDocument/2006/relationships/hyperlink" Target="https://nhilaw.com/forms/d4-1.html" TargetMode="External"/><Relationship Id="rId25" Type="http://schemas.openxmlformats.org/officeDocument/2006/relationships/hyperlink" Target="https://nhilaw.com/forms/d7-1.html" TargetMode="External"/><Relationship Id="rId31" Type="http://schemas.openxmlformats.org/officeDocument/2006/relationships/hyperlink" Target="https://nhilaw.com/issues/a1.html" TargetMode="External"/><Relationship Id="rId24" Type="http://schemas.openxmlformats.org/officeDocument/2006/relationships/hyperlink" Target="https://nhilaw.com/issues/d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UAP and Aviation Safety: Detection, Notification Duties, and Government Liability</dc:title>
  <dc:creator>nhilaw.com</dc:creator>
  <cp:keywords/>
  <dcterms:created xsi:type="dcterms:W3CDTF">2026-10-19T03:13:36Z</dcterms:created>
  <dcterms:modified xsi:type="dcterms:W3CDTF">2026-10-19T03:13:36Z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Version 1.10 · October 2026 · nhilaw.com/issues/d4.html</vt:lpwstr>
  </property>
</Properties>
</file>