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2" w:name="X5cdc6fbd12e45dd37f66e9062047c262e4abaf9"/>
    <w:p>
      <w:pPr>
        <w:pStyle w:val="Heading1"/>
      </w:pPr>
      <w:r>
        <w:t xml:space="preserve">Form D5-1. FTCA Administrative Claim (SF-95) Narrative Attachment for an Injury Involving a Possible UAP</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https://nhilaw.com/forms/d5-1.html</w:t>
      </w:r>
    </w:p>
    <w:p>
      <w:pPr>
        <w:pStyle w:val="BodyText"/>
        <w:spacing w:after="160" w:line="259" w:lineRule="auto"/>
      </w:pPr>
      <w:r>
        <w:rPr>
          <w:bCs/>
          <w:b/>
        </w:rPr>
        <w:t xml:space="preserve">When to use.</w:t>
      </w:r>
      <w:r>
        <w:t xml:space="preserve"> </w:t>
      </w:r>
      <w:r>
        <w:t xml:space="preserve">Presenting an FTCA administrative claim for injury or damage in a UAP-related event.</w:t>
      </w:r>
      <w:r>
        <w:t xml:space="preserve"> </w:t>
      </w:r>
      <w:r>
        <w:rPr>
          <w:bCs/>
          <w:b/>
        </w:rPr>
        <w:t xml:space="preserve">Not for:</w:t>
      </w:r>
      <w:r>
        <w:t xml:space="preserve"> </w:t>
      </w:r>
      <w:r>
        <w:t xml:space="preserve">Claims by service members incident to service, which the Feres doctrine bars, or claims under benefit programs (</w:t>
      </w:r>
      <w:hyperlink r:id="rId20">
        <w:r>
          <w:rPr>
            <w:rStyle w:val="Hyperlink"/>
          </w:rPr>
          <w:t xml:space="preserve">Issue D5</w:t>
        </w:r>
      </w:hyperlink>
      <w:r>
        <w:t xml:space="preserve">).</w:t>
      </w:r>
    </w:p>
    <w:p>
      <w:pPr>
        <w:pStyle w:val="BodyText"/>
        <w:spacing w:after="160" w:line="259" w:lineRule="auto"/>
      </w:pPr>
      <w:r>
        <w:rPr>
          <w:bCs/>
          <w:b/>
        </w:rPr>
        <w:t xml:space="preserve">Deadlines.</w:t>
      </w:r>
      <w:r>
        <w:t xml:space="preserve"> </w:t>
      </w:r>
      <w:r>
        <w:t xml:space="preserve">Present within two years of accrual; sue within six months of a written denial (28 U.S.C. §2401(b)); after six months without a decision the claimant may treat the claim as denied (§2675(a)).</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Attachment to Standard Form 95: Statement of Claim of [Claimant]</w:t>
      </w:r>
    </w:p>
    <w:p>
      <w:pPr>
        <w:pStyle w:val="BodyText"/>
      </w:pPr>
      <w:r>
        <w:rPr>
          <w:bCs/>
          <w:b/>
        </w:rPr>
        <w:t xml:space="preserve">Agencies to which presented:</w:t>
      </w:r>
      <w:r>
        <w:t xml:space="preserve"> </w:t>
      </w:r>
      <w:r>
        <w:t xml:space="preserve">[Department of the Air Force / Navy / Army / Department of War (OSD) / NASA /</w:t>
      </w:r>
      <w:r>
        <w:t xml:space="preserve"> </w:t>
      </w:r>
      <w:r>
        <w:t xml:space="preserve">DOE / FAA], at [addresses].</w:t>
      </w:r>
    </w:p>
    <w:p>
      <w:pPr>
        <w:pStyle w:val="BodyText"/>
      </w:pPr>
      <w:r>
        <w:rPr>
          <w:bCs/>
          <w:b/>
        </w:rPr>
        <w:t xml:space="preserve">1. Claimant.</w:t>
      </w:r>
      <w:r>
        <w:t xml:space="preserve"> </w:t>
      </w:r>
      <w:r>
        <w:t xml:space="preserve">[Name, address, date of birth.] Represented by [counsel].</w:t>
      </w:r>
    </w:p>
    <w:p>
      <w:pPr>
        <w:pStyle w:val="BodyText"/>
      </w:pPr>
      <w:r>
        <w:rPr>
          <w:bCs/>
          <w:b/>
        </w:rPr>
        <w:t xml:space="preserve">2. Date, time, and place.</w:t>
      </w:r>
      <w:r>
        <w:t xml:space="preserve"> </w:t>
      </w:r>
      <w:r>
        <w:t xml:space="preserve">On [date], at approximately [time] [time zone], at [precise location with</w:t>
      </w:r>
      <w:r>
        <w:t xml:space="preserve"> </w:t>
      </w:r>
      <w:r>
        <w:t xml:space="preserve">coordinates if known].</w:t>
      </w:r>
    </w:p>
    <w:p>
      <w:pPr>
        <w:pStyle w:val="BodyText"/>
      </w:pPr>
      <w:r>
        <w:rPr>
          <w:bCs/>
          <w:b/>
        </w:rPr>
        <w:t xml:space="preserve">3. Basis of claim.</w:t>
      </w:r>
      <w:r>
        <w:t xml:space="preserve"> </w:t>
      </w:r>
      <w:r>
        <w:t xml:space="preserve">Claimant was injured when [describe: claimant observed and was exposed to an object</w:t>
      </w:r>
      <w:r>
        <w:t xml:space="preserve"> </w:t>
      </w:r>
      <w:r>
        <w:t xml:space="preserve">emitting heat/light/sound at close range; or claimant’s vehicle/aircraft was affected; or claimant was exposed</w:t>
      </w:r>
      <w:r>
        <w:t xml:space="preserve"> </w:t>
      </w:r>
      <w:r>
        <w:t xml:space="preserve">during work at (facility)]. On information and belief, the object [was operated by, escorted by, under the</w:t>
      </w:r>
      <w:r>
        <w:t xml:space="preserve"> </w:t>
      </w:r>
      <w:r>
        <w:t xml:space="preserve">control of, or being tracked or pursued by] the United States or its contractors, as shown by: [witness</w:t>
      </w:r>
      <w:r>
        <w:t xml:space="preserve"> </w:t>
      </w:r>
      <w:r>
        <w:t xml:space="preserve">accounts of military aircraft or vehicles; radar or sensor records; official acknowledgments; records</w:t>
      </w:r>
      <w:r>
        <w:t xml:space="preserve"> </w:t>
      </w:r>
      <w:r>
        <w:t xml:space="preserve">released under FOIA or PURSUE; AARO case number].</w:t>
      </w:r>
    </w:p>
    <w:p>
      <w:pPr>
        <w:pStyle w:val="BodyText"/>
      </w:pPr>
      <w:r>
        <w:rPr>
          <w:bCs/>
          <w:b/>
        </w:rPr>
        <w:t xml:space="preserve">4. Negligence or wrongful acts.</w:t>
      </w:r>
      <w:r>
        <w:t xml:space="preserve"> </w:t>
      </w:r>
      <w:r>
        <w:t xml:space="preserve">Employees of the United States acting within the scope of their employment</w:t>
      </w:r>
      <w:r>
        <w:t xml:space="preserve"> </w:t>
      </w:r>
      <w:r>
        <w:t xml:space="preserve">[operated or tested a craft or device in a manner that created an unreasonable risk to persons nearby /</w:t>
      </w:r>
      <w:r>
        <w:t xml:space="preserve"> </w:t>
      </w:r>
      <w:r>
        <w:t xml:space="preserve">failed to follow (identify mandatory directive) requiring (warning, exclusion zone, notification) / failed to</w:t>
      </w:r>
      <w:r>
        <w:t xml:space="preserve"> </w:t>
      </w:r>
      <w:r>
        <w:t xml:space="preserve">warn claimant after undertaking to (control the area, escort the object)]. [Avoid relying solely on</w:t>
      </w:r>
      <w:r>
        <w:t xml:space="preserve"> </w:t>
      </w:r>
      <w:r>
        <w:t xml:space="preserve">discretionary policy decisions; identify mandatory directives and operational acts.]</w:t>
      </w:r>
    </w:p>
    <w:p>
      <w:pPr>
        <w:pStyle w:val="BodyText"/>
      </w:pPr>
      <w:r>
        <w:rPr>
          <w:bCs/>
          <w:b/>
        </w:rPr>
        <w:t xml:space="preserve">5. Injuries.</w:t>
      </w:r>
      <w:r>
        <w:t xml:space="preserve"> </w:t>
      </w:r>
      <w:r>
        <w:t xml:space="preserve">[Describe diagnosis, treatment, providers, and prognosis; attach medical records.]</w:t>
      </w:r>
    </w:p>
    <w:p>
      <w:pPr>
        <w:pStyle w:val="BodyText"/>
      </w:pPr>
      <w:r>
        <w:rPr>
          <w:bCs/>
          <w:b/>
        </w:rPr>
        <w:t xml:space="preserve">6. Property damage.</w:t>
      </w:r>
      <w:r>
        <w:t xml:space="preserve"> </w:t>
      </w:r>
      <w:r>
        <w:t xml:space="preserve">[Describe; attach estimates.]</w:t>
      </w:r>
    </w:p>
    <w:p>
      <w:pPr>
        <w:pStyle w:val="BodyText"/>
      </w:pPr>
      <w:r>
        <w:rPr>
          <w:bCs/>
          <w:b/>
        </w:rPr>
        <w:t xml:space="preserve">7. Damages.</w:t>
      </w:r>
      <w:r>
        <w:t xml:space="preserve"> </w:t>
      </w:r>
      <w:r>
        <w:t xml:space="preserve">Sum certain: personal injury $[__]; property damage $[__]; total $[__].</w:t>
      </w:r>
    </w:p>
    <w:p>
      <w:pPr>
        <w:pStyle w:val="BodyText"/>
      </w:pPr>
      <w:r>
        <w:rPr>
          <w:bCs/>
          <w:b/>
        </w:rPr>
        <w:t xml:space="preserve">8. Witnesses.</w:t>
      </w:r>
      <w:r>
        <w:t xml:space="preserve"> </w:t>
      </w:r>
      <w:r>
        <w:t xml:space="preserve">[Names and contact information.]</w:t>
      </w:r>
    </w:p>
    <w:p>
      <w:pPr>
        <w:pStyle w:val="BodyText"/>
      </w:pPr>
      <w:r>
        <w:rPr>
          <w:bCs/>
          <w:b/>
        </w:rPr>
        <w:t xml:space="preserve">9. Records requested.</w:t>
      </w:r>
      <w:r>
        <w:t xml:space="preserve"> </w:t>
      </w:r>
      <w:r>
        <w:t xml:space="preserve">Claimant requests that the agency preserve and produce all records of operations,</w:t>
      </w:r>
      <w:r>
        <w:t xml:space="preserve"> </w:t>
      </w:r>
      <w:r>
        <w:t xml:space="preserve">sensor data, and communications concerning the time and place above, including records subject to Pub. L.</w:t>
      </w:r>
      <w:r>
        <w:t xml:space="preserve"> </w:t>
      </w:r>
      <w:r>
        <w:t xml:space="preserve">No. 118-31, §1842(a)(2)(A). Claimant has submitted FOIA requests numbered [__].</w:t>
      </w:r>
    </w:p>
    <w:p>
      <w:pPr>
        <w:pStyle w:val="BodyText"/>
      </w:pPr>
      <w:r>
        <w:rPr>
          <w:bCs/>
          <w:b/>
        </w:rPr>
        <w:t xml:space="preserve">10. Reporting.</w:t>
      </w:r>
      <w:r>
        <w:t xml:space="preserve"> </w:t>
      </w:r>
      <w:r>
        <w:t xml:space="preserve">Claimant reported the event to [AARO on (date), case number (__); local authorities on</w:t>
      </w:r>
      <w:r>
        <w:t xml:space="preserve"> </w:t>
      </w:r>
      <w:r>
        <w:t xml:space="preserve">(date)].</w:t>
      </w:r>
    </w:p>
    <w:p>
      <w:pPr>
        <w:pStyle w:val="BodyText"/>
      </w:pPr>
      <w:r>
        <w:t xml:space="preserve">[Signature of claimant or authorized representative] [Date]</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Start w:id="21" w:name="drafting-notes"/>
    <w:p>
      <w:pPr>
        <w:pStyle w:val="Heading2"/>
      </w:pPr>
      <w:r>
        <w:t xml:space="preserve">Drafting notes</w:t>
      </w:r>
    </w:p>
    <w:p>
      <w:pPr>
        <w:pStyle w:val="Compact"/>
        <w:numPr>
          <w:ilvl w:val="0"/>
          <w:numId w:val="1001"/>
        </w:numPr>
      </w:pPr>
      <w:r>
        <w:rPr>
          <w:bCs/>
          <w:b/>
        </w:rPr>
        <w:t xml:space="preserve">Sum certain.</w:t>
      </w:r>
      <w:r>
        <w:t xml:space="preserve"> </w:t>
      </w:r>
      <w:r>
        <w:t xml:space="preserve">A claim is not</w:t>
      </w:r>
      <w:r>
        <w:t xml:space="preserve"> </w:t>
      </w:r>
      <w:r>
        <w:t xml:space="preserve">“</w:t>
      </w:r>
      <w:r>
        <w:t xml:space="preserve">presented</w:t>
      </w:r>
      <w:r>
        <w:t xml:space="preserve">”</w:t>
      </w:r>
      <w:r>
        <w:t xml:space="preserve"> </w:t>
      </w:r>
      <w:r>
        <w:t xml:space="preserve">unless it states a sum certain (28 C.F.R. §14.2(a)). Write a figure</w:t>
      </w:r>
      <w:r>
        <w:t xml:space="preserve"> </w:t>
      </w:r>
      <w:r>
        <w:t xml:space="preserve">for each category and a total, for example</w:t>
      </w:r>
      <w:r>
        <w:t xml:space="preserve"> </w:t>
      </w:r>
      <w:r>
        <w:t xml:space="preserve">“</w:t>
      </w:r>
      <w:r>
        <w:t xml:space="preserve">personal injury $750,000; property damage $12,400; total $762,400.</w:t>
      </w:r>
      <w:r>
        <w:t xml:space="preserve">”</w:t>
      </w:r>
      <w:r>
        <w:t xml:space="preserve"> </w:t>
      </w:r>
      <w:r>
        <w:t xml:space="preserve">Do not write</w:t>
      </w:r>
      <w:r>
        <w:t xml:space="preserve"> </w:t>
      </w:r>
      <w:r>
        <w:t xml:space="preserve">“</w:t>
      </w:r>
      <w:r>
        <w:t xml:space="preserve">in excess of $750,000,</w:t>
      </w:r>
      <w:r>
        <w:t xml:space="preserve">”</w:t>
      </w:r>
      <w:r>
        <w:t xml:space="preserve"> </w:t>
      </w:r>
      <w:r>
        <w:t xml:space="preserve">“</w:t>
      </w:r>
      <w:r>
        <w:t xml:space="preserve">to be determined,</w:t>
      </w:r>
      <w:r>
        <w:t xml:space="preserve">”</w:t>
      </w:r>
      <w:r>
        <w:t xml:space="preserve"> </w:t>
      </w:r>
      <w:r>
        <w:t xml:space="preserve">or</w:t>
      </w:r>
      <w:r>
        <w:t xml:space="preserve"> </w:t>
      </w:r>
      <w:r>
        <w:t xml:space="preserve">“</w:t>
      </w:r>
      <w:r>
        <w:t xml:space="preserve">at least</w:t>
      </w:r>
      <w:r>
        <w:t xml:space="preserve">”</w:t>
      </w:r>
      <w:r>
        <w:t xml:space="preserve">; agencies reject those claims, and if the</w:t>
      </w:r>
      <w:r>
        <w:t xml:space="preserve"> </w:t>
      </w:r>
      <w:r>
        <w:t xml:space="preserve">two-year period in 28 U.S.C. §2401(b) has run by the time the defect is noticed, the claim is barred.</w:t>
      </w:r>
    </w:p>
    <w:p>
      <w:pPr>
        <w:pStyle w:val="Compact"/>
        <w:numPr>
          <w:ilvl w:val="0"/>
          <w:numId w:val="1001"/>
        </w:numPr>
      </w:pPr>
      <w:r>
        <w:rPr>
          <w:bCs/>
          <w:b/>
        </w:rPr>
        <w:t xml:space="preserve">The figure caps the lawsuit.</w:t>
      </w:r>
      <w:r>
        <w:t xml:space="preserve"> </w:t>
      </w:r>
      <w:r>
        <w:t xml:space="preserve">Suit is limited to the amount claimed unless the increase rests on newly</w:t>
      </w:r>
      <w:r>
        <w:t xml:space="preserve"> </w:t>
      </w:r>
      <w:r>
        <w:t xml:space="preserve">discovered evidence not reasonably discoverable when the claim was filed, or on intervening facts (28 U.S.C.</w:t>
      </w:r>
      <w:r>
        <w:t xml:space="preserve"> </w:t>
      </w:r>
      <w:r>
        <w:t xml:space="preserve">§2675(b)). Claim the full value of injuries that may worsen, with medical support for future care. The claim may</w:t>
      </w:r>
      <w:r>
        <w:t xml:space="preserve"> </w:t>
      </w:r>
      <w:r>
        <w:t xml:space="preserve">be amended before final agency action (28 C.F.R. §14.2(c)).</w:t>
      </w:r>
    </w:p>
    <w:p>
      <w:pPr>
        <w:pStyle w:val="Compact"/>
        <w:numPr>
          <w:ilvl w:val="0"/>
          <w:numId w:val="1001"/>
        </w:numPr>
      </w:pPr>
      <w:r>
        <w:rPr>
          <w:bCs/>
          <w:b/>
        </w:rPr>
        <w:t xml:space="preserve">Timing.</w:t>
      </w:r>
      <w:r>
        <w:t xml:space="preserve"> </w:t>
      </w:r>
      <w:r>
        <w:t xml:space="preserve">File within two years after the claim accrues; suit must be filed within six months after a written</w:t>
      </w:r>
      <w:r>
        <w:t xml:space="preserve"> </w:t>
      </w:r>
      <w:r>
        <w:t xml:space="preserve">denial, or the claimant may treat the agency’s failure to decide within six months as a denial (28 U.S.C.</w:t>
      </w:r>
      <w:r>
        <w:t xml:space="preserve"> </w:t>
      </w:r>
      <w:r>
        <w:t xml:space="preserve">§§2401(b), 2675(a)). Accrual for latent injury runs from when the claimant knew of the injury and its cause</w:t>
      </w:r>
      <w:r>
        <w:t xml:space="preserve"> </w:t>
      </w:r>
      <w:r>
        <w:t xml:space="preserve">(</w:t>
      </w:r>
      <w:r>
        <w:rPr>
          <w:iCs/>
          <w:i/>
        </w:rPr>
        <w:t xml:space="preserve">United States v. Kubrick</w:t>
      </w:r>
      <w:r>
        <w:t xml:space="preserve">, 444 U.S. 111, 122 (1979)).</w:t>
      </w:r>
    </w:p>
    <w:p>
      <w:pPr>
        <w:pStyle w:val="Compact"/>
        <w:numPr>
          <w:ilvl w:val="0"/>
          <w:numId w:val="1001"/>
        </w:numPr>
      </w:pPr>
      <w:r>
        <w:rPr>
          <w:bCs/>
          <w:b/>
        </w:rPr>
        <w:t xml:space="preserve">Which agency.</w:t>
      </w:r>
      <w:r>
        <w:t xml:space="preserve"> </w:t>
      </w:r>
      <w:r>
        <w:t xml:space="preserve">Send the claim to every agency whose employees may have been involved; a claim sent to the</w:t>
      </w:r>
      <w:r>
        <w:t xml:space="preserve"> </w:t>
      </w:r>
      <w:r>
        <w:t xml:space="preserve">wrong agency must be transferred, but filing with each avoids the dispute (28 C.F.R. §14.2(b)(1)).</w:t>
      </w:r>
    </w:p>
    <w:p>
      <w:pPr>
        <w:pStyle w:val="Compact"/>
        <w:numPr>
          <w:ilvl w:val="0"/>
          <w:numId w:val="1001"/>
        </w:numPr>
      </w:pPr>
      <w:r>
        <w:t xml:space="preserve">Related:</w:t>
      </w:r>
      <w:r>
        <w:t xml:space="preserve"> </w:t>
      </w:r>
      <w:hyperlink r:id="rId20">
        <w:r>
          <w:rPr>
            <w:rStyle w:val="Hyperlink"/>
          </w:rPr>
          <w:t xml:space="preserve">Issue D5</w:t>
        </w:r>
      </w:hyperlink>
      <w:r>
        <w:t xml:space="preserve">, D4; Forms D4-1, B1-1.</w:t>
      </w:r>
    </w:p>
    <w:bookmarkEnd w:id="21"/>
    <w:bookmarkEnd w:id="22"/>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d5.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d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D5-1. FTCA Administrative Claim (SF-95) Narrative Attachment for an Injury Involving a Possible UAP</dc:title>
  <dc:creator>nhilaw.com</dc:creator>
  <cp:keywords/>
  <dcterms:created xsi:type="dcterms:W3CDTF">2026-10-19T03:13:44Z</dcterms:created>
  <dcterms:modified xsi:type="dcterms:W3CDTF">2026-10-19T03:13:44Z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