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Injuries from UAP Encounters and UAP Programs: Tort Claims, Benefits, and Compensation Models</w:t>
      </w:r>
    </w:p>
    <w:p>
      <w:pPr>
        <w:pStyle w:val="Subtitle"/>
      </w:pPr>
      <w:r>
        <w:t xml:space="preserve">Version 1.10 · October 2026 · nhilaw.com/issues/d5.html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Recovery routes depend on the claimant: FTCA for civilians near government operations, FECA for federal employees, VA benefits for service members, state law against contractors, and HAVANA Act benefits for covered personnel.</w:t>
      </w:r>
    </w:p>
    <w:p>
      <w:pPr>
        <w:pStyle w:val="Compact"/>
        <w:numPr>
          <w:ilvl w:val="0"/>
          <w:numId w:val="1001"/>
        </w:numPr>
      </w:pPr>
      <w:r>
        <w:t xml:space="preserve">The central proof problem is showing that the government owned, operated or controlled the object (</w:t>
      </w:r>
      <w:r>
        <w:rPr>
          <w:iCs/>
          <w:i/>
        </w:rPr>
        <w:t xml:space="preserve">Cash-Landrum</w:t>
      </w:r>
      <w:r>
        <w:t xml:space="preserve">); official acknowledgment after disclosure could supply it.</w:t>
      </w:r>
    </w:p>
    <w:p>
      <w:pPr>
        <w:pStyle w:val="Compact"/>
        <w:numPr>
          <w:ilvl w:val="0"/>
          <w:numId w:val="1001"/>
        </w:numPr>
      </w:pPr>
      <w:r>
        <w:t xml:space="preserve">Causation for novel injuries runs through experts under the amended Rule 702; build claims on documented exposure and prompt medical records.</w:t>
      </w:r>
    </w:p>
    <w:p>
      <w:pPr>
        <w:pStyle w:val="Compact"/>
        <w:numPr>
          <w:ilvl w:val="0"/>
          <w:numId w:val="1001"/>
        </w:numPr>
      </w:pPr>
      <w:r>
        <w:t xml:space="preserve">The best model for a UAP injury statute is the Camp Lejeune Justice Act (own cause of action,</w:t>
      </w:r>
      <w:r>
        <w:t xml:space="preserve"> </w:t>
      </w:r>
      <w:r>
        <w:t xml:space="preserve">“</w:t>
      </w:r>
      <w:r>
        <w:t xml:space="preserve">at least as likely as not</w:t>
      </w:r>
      <w:r>
        <w:t xml:space="preserve">”</w:t>
      </w:r>
      <w:r>
        <w:t xml:space="preserve"> </w:t>
      </w:r>
      <w:r>
        <w:t xml:space="preserve">causation, no discretionary-function defense); EEOICPA’s Special Exposure Cohort fits workers whose exposure records are classified.</w:t>
      </w:r>
    </w:p>
    <w:p>
      <w:pPr>
        <w:pStyle w:val="Compact"/>
        <w:numPr>
          <w:ilvl w:val="0"/>
          <w:numId w:val="1001"/>
        </w:numPr>
      </w:pPr>
      <w:r>
        <w:t xml:space="preserve">File the SF-95 within two years of accrual (</w:t>
      </w:r>
      <w:hyperlink r:id="rId21">
        <w:r>
          <w:rPr>
            <w:rStyle w:val="Hyperlink"/>
          </w:rPr>
          <w:t xml:space="preserve">Form D5-1</w:t>
        </w:r>
      </w:hyperlink>
      <w:r>
        <w:t xml:space="preserve">); accrual may run from disclosure where the government’s role was concealed (</w:t>
      </w:r>
      <w:r>
        <w:rPr>
          <w:iCs/>
          <w:i/>
        </w:rPr>
        <w:t xml:space="preserve">Kubrick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People report physical injuries associated with close UAP encounters (burns, radiation-like symptoms,</w:t>
      </w:r>
      <w:r>
        <w:t xml:space="preserve"> </w:t>
      </w:r>
      <w:r>
        <w:t xml:space="preserve">neurological effects) and with work on UAP programs (exposure to unknown materials, psychological harm,</w:t>
      </w:r>
      <w:r>
        <w:t xml:space="preserve"> </w:t>
      </w:r>
      <w:r>
        <w:t xml:space="preserve">retaliation-related injury). Congress has recognized the category: AARO must collect and analyze reports</w:t>
      </w:r>
      <w:r>
        <w:t xml:space="preserve"> </w:t>
      </w:r>
      <w:r>
        <w:t xml:space="preserve">of</w:t>
      </w:r>
      <w:r>
        <w:t xml:space="preserve"> </w:t>
      </w:r>
      <w:r>
        <w:t xml:space="preserve">“</w:t>
      </w:r>
      <w:r>
        <w:t xml:space="preserve">adverse physiological effects</w:t>
      </w:r>
      <w:r>
        <w:t xml:space="preserve">”</w:t>
      </w:r>
      <w:r>
        <w:t xml:space="preserve"> </w:t>
      </w:r>
      <w:r>
        <w:t xml:space="preserve">associated with UAP. 50 U.S.C. §3373(c)(1).</w:t>
      </w:r>
    </w:p>
    <w:p>
      <w:pPr>
        <w:pStyle w:val="BodyText"/>
      </w:pPr>
      <w:r>
        <w:t xml:space="preserve">Recovery routes and their obstacles: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Claimant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obstacles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Civilian injured near government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FTCA (28 U.S.C. §§1346(b), 2671-2680)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Discretionary function (</w:t>
            </w:r>
            <w:r>
              <w:rPr>
                <w:iCs/>
                <w:i/>
              </w:rPr>
              <w:t xml:space="preserve">Allen v. United States</w:t>
            </w:r>
            <w:r>
              <w:t xml:space="preserve">, 816 F.2d 1417 (10th Cir. 1987)); proof that the government owned or controlled the object (</w:t>
            </w:r>
            <w:r>
              <w:rPr>
                <w:iCs/>
                <w:i/>
              </w:rPr>
              <w:t xml:space="preserve">Cash-Landrum</w:t>
            </w:r>
            <w:r>
              <w:t xml:space="preserve">, dismissed 1986); state secrets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Federal civilian employee injured on the 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FECA (5 U.S.C. §8101 et seq.), exclusive remedy against the United States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Causation proof; classified medical records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member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 disability compensation (38 U.S.C. ch. 11); FTCA barred by</w:t>
            </w:r>
            <w:r>
              <w:t xml:space="preserve"> </w:t>
            </w:r>
            <w:r>
              <w:rPr>
                <w:iCs/>
                <w:i/>
              </w:rPr>
              <w:t xml:space="preserve">Feres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connection; access to classified exposure records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Contractor employee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workers’ compensation; Defense Base Act abroad; tort claims against third parties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Exclusive-remedy rules; government contractor defense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Anyone injured by a contractor’s unauthorized conduct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tort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</w:t>
            </w:r>
            <w:r>
              <w:t xml:space="preserve"> </w:t>
            </w:r>
            <w:r>
              <w:rPr>
                <w:iCs/>
                <w:i/>
              </w:rPr>
              <w:t xml:space="preserve">Hencely v. Fluor Corp.</w:t>
            </w:r>
            <w:r>
              <w:t xml:space="preserve">, 608 U.S. 31 (2026), preemption limited where conduct was not required or authorized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Constitutional injury by federal officers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Bivens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Almost unavailable after</w:t>
            </w:r>
            <w:r>
              <w:t xml:space="preserve"> </w:t>
            </w:r>
            <w:r>
              <w:rPr>
                <w:iCs/>
                <w:i/>
              </w:rPr>
              <w:t xml:space="preserve">Egbert v. Boule</w:t>
            </w:r>
            <w:r>
              <w:t xml:space="preserve">, 596 U.S. 482 (2022)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Covered government personnel with brain injuries from</w:t>
            </w:r>
            <w:r>
              <w:t xml:space="preserve"> </w:t>
            </w:r>
            <w:r>
              <w:t xml:space="preserve">“</w:t>
            </w:r>
            <w:r>
              <w:t xml:space="preserve">anomalous health incidents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HAVANA Act benefits (Pub. L. 117-46, 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eligibility criteria; denials reviewable under the APA (</w:t>
            </w:r>
            <w:r>
              <w:rPr>
                <w:iCs/>
                <w:i/>
              </w:rPr>
              <w:t xml:space="preserve">American Foreign Service Ass’n v. U.S. Dep’t of State</w:t>
            </w:r>
            <w:r>
              <w:t xml:space="preserve">, 826 F. Supp. 3d 67 (D.D.C. 2026))</w:t>
            </w:r>
          </w:p>
        </w:tc>
      </w:tr>
    </w:tbl>
    <w:p>
      <w:pPr>
        <w:pStyle w:val="BodyText"/>
      </w:pPr>
      <w:r>
        <w:t xml:space="preserve">The most promising long-term path is statutory: a compensation program modeled on the HAVANA Act, the</w:t>
      </w:r>
      <w:r>
        <w:t xml:space="preserve"> </w:t>
      </w:r>
      <w:r>
        <w:t xml:space="preserve">Radiation Exposure Compensation Act, and the Energy Employees Occupational Illness Compensation Program</w:t>
      </w:r>
      <w:r>
        <w:t xml:space="preserve"> </w:t>
      </w:r>
      <w:r>
        <w:t xml:space="preserve">Act, with relaxed causation standards and access to classified exposure records.</w:t>
      </w:r>
    </w:p>
    <w:p>
      <w:r>
        <w:pict>
          <v:rect style="width:0;height:1.5pt" o:hralign="center" o:hrstd="t" o:hr="t"/>
        </w:pict>
      </w:r>
    </w:p>
    <w:bookmarkEnd w:id="23"/>
    <w:bookmarkStart w:id="25" w:name="ftca-claims"/>
    <w:p>
      <w:pPr>
        <w:pStyle w:val="Heading2"/>
      </w:pPr>
      <w:r>
        <w:t xml:space="preserve">2. FTCA claims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Jurisdiction and procedure.</w:t>
      </w:r>
      <w:r>
        <w:t xml:space="preserve"> </w:t>
      </w:r>
      <w:r>
        <w:t xml:space="preserve">Administrative claim (SF-95) within two years of accrual; suit after denial</w:t>
      </w:r>
      <w:r>
        <w:t xml:space="preserve"> </w:t>
      </w:r>
      <w:r>
        <w:t xml:space="preserve">or six months (28 U.S.C. §§2401(b), 2675). Liability under the law of the place of the act or omission.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Proof of government involvement.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Cash v. United States</w:t>
      </w:r>
      <w:r>
        <w:t xml:space="preserve"> </w:t>
      </w:r>
      <w:r>
        <w:t xml:space="preserve">(S.D. Tex., filed 1984, dismissed 1986),</w:t>
      </w:r>
      <w:r>
        <w:t xml:space="preserve"> </w:t>
      </w:r>
      <w:r>
        <w:t xml:space="preserve">two women and a child reported burns and illness after a 1980 encounter with a diamond-shaped object</w:t>
      </w:r>
      <w:r>
        <w:t xml:space="preserve"> </w:t>
      </w:r>
      <w:r>
        <w:t xml:space="preserve">escorted by helicopters near Huffman, Texas. The suit reportedly failed because the plaintiffs could not</w:t>
      </w:r>
      <w:r>
        <w:t xml:space="preserve"> </w:t>
      </w:r>
      <w:r>
        <w:t xml:space="preserve">prove the craft or helicopters belonged to the United States; no reported opinion exists. The case shows the</w:t>
      </w:r>
      <w:r>
        <w:t xml:space="preserve"> </w:t>
      </w:r>
      <w:r>
        <w:t xml:space="preserve">central problem: plaintiffs must prove the government’s ownership, operation, or control.</w:t>
      </w:r>
      <w:r>
        <w:t xml:space="preserve"> </w:t>
      </w:r>
      <w:r>
        <w:t xml:space="preserve">Official acknowledgment after disclosure could supply that proof.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Discretionary function.</w:t>
      </w:r>
      <w:r>
        <w:t xml:space="preserve"> </w:t>
      </w:r>
      <w:r>
        <w:rPr>
          <w:iCs/>
          <w:i/>
        </w:rPr>
        <w:t xml:space="preserve">Allen</w:t>
      </w:r>
      <w:r>
        <w:t xml:space="preserve"> </w:t>
      </w:r>
      <w:r>
        <w:t xml:space="preserve">held that the government’s choices about monitoring and warning the</w:t>
      </w:r>
      <w:r>
        <w:t xml:space="preserve"> </w:t>
      </w:r>
      <w:r>
        <w:t xml:space="preserve">public of fallout from atomic testing were protected policy judgments, reversing judgments for downwind</w:t>
      </w:r>
      <w:r>
        <w:t xml:space="preserve"> </w:t>
      </w:r>
      <w:r>
        <w:t xml:space="preserve">plaintiffs. Claims about failures to warn of UAP-related hazards will face the same defense (</w:t>
      </w:r>
      <w:hyperlink r:id="rId24">
        <w:r>
          <w:rPr>
            <w:rStyle w:val="Hyperlink"/>
          </w:rPr>
          <w:t xml:space="preserve">Issue D4</w:t>
        </w:r>
      </w:hyperlink>
      <w:r>
        <w:t xml:space="preserve">).</w:t>
      </w:r>
      <w:r>
        <w:t xml:space="preserve"> </w:t>
      </w:r>
      <w:r>
        <w:t xml:space="preserve">Claims based on violation of a mandatory directive, or negligent operational conduct, can survive.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Accrual.</w:t>
      </w:r>
      <w:r>
        <w:t xml:space="preserve"> </w:t>
      </w:r>
      <w:r>
        <w:t xml:space="preserve">An FTCA claim accrues when the claimant knows of the injury and its cause, not when the claimant</w:t>
      </w:r>
      <w:r>
        <w:t xml:space="preserve"> </w:t>
      </w:r>
      <w:r>
        <w:t xml:space="preserve">learns that the cause may be actionable.</w:t>
      </w:r>
      <w:r>
        <w:t xml:space="preserve"> </w:t>
      </w:r>
      <w:r>
        <w:rPr>
          <w:iCs/>
          <w:i/>
        </w:rPr>
        <w:t xml:space="preserve">United States v. Kubrick</w:t>
      </w:r>
      <w:r>
        <w:t xml:space="preserve">, 444 U.S. 111, 122 (1979). A person who learns</w:t>
      </w:r>
      <w:r>
        <w:t xml:space="preserve"> </w:t>
      </w:r>
      <w:r>
        <w:t xml:space="preserve">only on disclosure that a government operation, and not an unknown phenomenon, caused a known injury has an argument</w:t>
      </w:r>
      <w:r>
        <w:t xml:space="preserve"> </w:t>
      </w:r>
      <w:r>
        <w:t xml:space="preserve">that the claim accrued at disclosure, which is the argument that matters most for older injuries.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Individual employees.</w:t>
      </w:r>
      <w:r>
        <w:t xml:space="preserve"> </w:t>
      </w:r>
      <w:r>
        <w:t xml:space="preserve">The Westfall Act substitutes the United States as defendant for employees acting within</w:t>
      </w:r>
      <w:r>
        <w:t xml:space="preserve"> </w:t>
      </w:r>
      <w:r>
        <w:t xml:space="preserve">the scope of employment (28 U.S.C. §2679(d)), so the FTCA’s limits apply to suits against program personnel too.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Intentional torts and other exceptions.</w:t>
      </w:r>
      <w:r>
        <w:t xml:space="preserve"> </w:t>
      </w:r>
      <w:r>
        <w:t xml:space="preserve">Assault, battery, and similar claims are excluded unless</w:t>
      </w:r>
      <w:r>
        <w:t xml:space="preserve"> </w:t>
      </w:r>
      <w:r>
        <w:t xml:space="preserve">committed by law enforcement officers (§2680(h)); misrepresentation claims are excluded.</w:t>
      </w:r>
    </w:p>
    <w:bookmarkEnd w:id="25"/>
    <w:bookmarkStart w:id="26" w:name="benefits-programs"/>
    <w:p>
      <w:pPr>
        <w:pStyle w:val="Heading2"/>
      </w:pPr>
      <w:r>
        <w:t xml:space="preserve">3. Benefits programs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FECA</w:t>
      </w:r>
      <w:r>
        <w:t xml:space="preserve"> </w:t>
      </w:r>
      <w:r>
        <w:t xml:space="preserve">covers federal civilian employees; claims for injury from exposure during UAP program work should</w:t>
      </w:r>
      <w:r>
        <w:t xml:space="preserve"> </w:t>
      </w:r>
      <w:r>
        <w:t xml:space="preserve">be filed with the Office of Workers’ Compensation Programs. Classified exposure information can be</w:t>
      </w:r>
      <w:r>
        <w:t xml:space="preserve"> </w:t>
      </w:r>
      <w:r>
        <w:t xml:space="preserve">submitted through agency security channels.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VA.</w:t>
      </w:r>
      <w:r>
        <w:t xml:space="preserve"> </w:t>
      </w:r>
      <w:r>
        <w:t xml:space="preserve">Service members exposed in UAP-related operations may claim service connection. The VA relies on</w:t>
      </w:r>
      <w:r>
        <w:t xml:space="preserve"> </w:t>
      </w:r>
      <w:r>
        <w:t xml:space="preserve">service records; where exposure is classified, the claimant should request a statement from the command</w:t>
      </w:r>
      <w:r>
        <w:t xml:space="preserve"> </w:t>
      </w:r>
      <w:r>
        <w:t xml:space="preserve">through classified channels and cite 38 C.F.R. §3.102 (benefit of the doubt).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Medical records of UAP effects.</w:t>
      </w:r>
      <w:r>
        <w:t xml:space="preserve"> </w:t>
      </w:r>
      <w:r>
        <w:t xml:space="preserve">The Joint Staff’s May 19, 2023 UAP reporting order directs that</w:t>
      </w:r>
      <w:r>
        <w:t xml:space="preserve"> </w:t>
      </w:r>
      <w:r>
        <w:t xml:space="preserve">“</w:t>
      </w:r>
      <w:r>
        <w:t xml:space="preserve">[d]etails of UAP-related health incidents (e.g., physiological, psychological effects and whether</w:t>
      </w:r>
      <w:r>
        <w:t xml:space="preserve"> </w:t>
      </w:r>
      <w:r>
        <w:t xml:space="preserve">persistent or transitory) will be retained in service members medical records but shall not/not be</w:t>
      </w:r>
      <w:r>
        <w:t xml:space="preserve"> </w:t>
      </w:r>
      <w:r>
        <w:t xml:space="preserve">transmitted with the UAP report</w:t>
      </w:r>
      <w:r>
        <w:t xml:space="preserve">”</w:t>
      </w:r>
      <w:r>
        <w:t xml:space="preserve"> </w:t>
      </w:r>
      <w:r>
        <w:t xml:space="preserve">(¶3.C.1), while the report itself records</w:t>
      </w:r>
      <w:r>
        <w:t xml:space="preserve"> </w:t>
      </w:r>
      <w:r>
        <w:t xml:space="preserve">“</w:t>
      </w:r>
      <w:r>
        <w:t xml:space="preserve">UAP effects on persons</w:t>
      </w:r>
      <w:r>
        <w:t xml:space="preserve"> </w:t>
      </w:r>
      <w:r>
        <w:t xml:space="preserve">(yes/no)</w:t>
      </w:r>
      <w:r>
        <w:t xml:space="preserve">”</w:t>
      </w:r>
      <w:r>
        <w:t xml:space="preserve"> </w:t>
      </w:r>
      <w:r>
        <w:t xml:space="preserve">(template line 8.B). Joint Staff J3 GENADMIN,</w:t>
      </w:r>
      <w:r>
        <w:t xml:space="preserve"> </w:t>
      </w:r>
      <w:r>
        <w:t xml:space="preserve">“</w:t>
      </w:r>
      <w:r>
        <w:t xml:space="preserve">Unidentified Anomalous Phenomena Reporting and Material Disposition,</w:t>
      </w:r>
      <w:r>
        <w:t xml:space="preserve">”</w:t>
      </w:r>
      <w:r>
        <w:t xml:space="preserve"> </w:t>
      </w:r>
      <w:r>
        <w:t xml:space="preserve">DTG 191452Z May 2023, released under FOIA as DoD 24-F-0067. A veteran pursuing service connection should therefore request the</w:t>
      </w:r>
      <w:r>
        <w:t xml:space="preserve"> </w:t>
      </w:r>
      <w:r>
        <w:t xml:space="preserve">service treatment records for the date of the event and cite the order, and should ask AARO or the command</w:t>
      </w:r>
      <w:r>
        <w:t xml:space="preserve"> </w:t>
      </w:r>
      <w:r>
        <w:t xml:space="preserve">for the UAP-event serial number assigned under the order to link the medical entry to the event.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HAVANA Act.</w:t>
      </w:r>
      <w:r>
        <w:t xml:space="preserve"> </w:t>
      </w:r>
      <w:r>
        <w:t xml:space="preserve">The Helping American Victims Afflicted by Neurological Attacks Act of 2021 authorizes the</w:t>
      </w:r>
      <w:r>
        <w:t xml:space="preserve"> </w:t>
      </w:r>
      <w:r>
        <w:t xml:space="preserve">CIA, State, and other agencies to pay benefits to personnel with qualifying brain injuries from anomalous</w:t>
      </w:r>
      <w:r>
        <w:t xml:space="preserve"> </w:t>
      </w:r>
      <w:r>
        <w:t xml:space="preserve">health incidents. In</w:t>
      </w:r>
      <w:r>
        <w:t xml:space="preserve"> </w:t>
      </w:r>
      <w:r>
        <w:rPr>
          <w:iCs/>
          <w:i/>
        </w:rPr>
        <w:t xml:space="preserve">AFSA v. State</w:t>
      </w:r>
      <w:r>
        <w:t xml:space="preserve"> </w:t>
      </w:r>
      <w:r>
        <w:t xml:space="preserve">(D.D.C. Feb. 13, 2026) (Ali, J.), the court denied a motion to dismiss</w:t>
      </w:r>
      <w:r>
        <w:t xml:space="preserve"> </w:t>
      </w:r>
      <w:r>
        <w:t xml:space="preserve">an APA challenge to the State Department’s benefit denials, holding the workers plausibly pleaded that the</w:t>
      </w:r>
      <w:r>
        <w:t xml:space="preserve"> </w:t>
      </w:r>
      <w:r>
        <w:t xml:space="preserve">denials were arbitrary and capricious. In</w:t>
      </w:r>
      <w:r>
        <w:t xml:space="preserve"> </w:t>
      </w:r>
      <w:r>
        <w:rPr>
          <w:iCs/>
          <w:i/>
        </w:rPr>
        <w:t xml:space="preserve">Hogg v. Department of State</w:t>
      </w:r>
      <w:r>
        <w:t xml:space="preserve">, 2026 WL 2368109 (D.D.C. Aug. 16,</w:t>
      </w:r>
      <w:r>
        <w:t xml:space="preserve"> </w:t>
      </w:r>
      <w:r>
        <w:t xml:space="preserve">2026), an employee with an anomalous health incident diagnosis stated a reasonable-accommodation claim. The</w:t>
      </w:r>
      <w:r>
        <w:t xml:space="preserve"> </w:t>
      </w:r>
      <w:r>
        <w:t xml:space="preserve">HAVANA Act is not a UAP statute, but it is the closest existing model: a congressionally recognized</w:t>
      </w:r>
      <w:r>
        <w:t xml:space="preserve"> </w:t>
      </w:r>
      <w:r>
        <w:t xml:space="preserve">category of unexplained injury, compensated without requiring proof of the cause. The State Department’s rule</w:t>
      </w:r>
      <w:r>
        <w:t xml:space="preserve"> </w:t>
      </w:r>
      <w:r>
        <w:t xml:space="preserve">shows the limit for UAP cases: a</w:t>
      </w:r>
      <w:r>
        <w:t xml:space="preserve"> </w:t>
      </w:r>
      <w:r>
        <w:t xml:space="preserve">“</w:t>
      </w:r>
      <w:r>
        <w:t xml:space="preserve">qualifying injury to the brain</w:t>
      </w:r>
      <w:r>
        <w:t xml:space="preserve">”</w:t>
      </w:r>
      <w:r>
        <w:t xml:space="preserve"> </w:t>
      </w:r>
      <w:r>
        <w:t xml:space="preserve">must have</w:t>
      </w:r>
      <w:r>
        <w:t xml:space="preserve"> </w:t>
      </w:r>
      <w:r>
        <w:t xml:space="preserve">“</w:t>
      </w:r>
      <w:r>
        <w:t xml:space="preserve">occurred in connection with war,</w:t>
      </w:r>
      <w:r>
        <w:t xml:space="preserve"> </w:t>
      </w:r>
      <w:r>
        <w:t xml:space="preserve">insurgency, hostile act, terrorist activity, or other incidents designated by the Secretary of State,</w:t>
      </w:r>
      <w:r>
        <w:t xml:space="preserve">”</w:t>
      </w:r>
      <w:r>
        <w:t xml:space="preserve"> </w:t>
      </w:r>
      <w:r>
        <w:t xml:space="preserve">and must</w:t>
      </w:r>
      <w:r>
        <w:t xml:space="preserve"> </w:t>
      </w:r>
      <w:r>
        <w:t xml:space="preserve">meet medical criteria (imaging or EEG findings, a TBI diagnosis requiring 12 months or more of treatment, or</w:t>
      </w:r>
      <w:r>
        <w:t xml:space="preserve"> </w:t>
      </w:r>
      <w:r>
        <w:t xml:space="preserve">acute onset of persistent disabling neurologic symptoms) (22 C.F.R. part 135, definitions). An injury during a UAP encounter qualifies only if the Secretary designates the incident or it</w:t>
      </w:r>
      <w:r>
        <w:t xml:space="preserve"> </w:t>
      </w:r>
      <w:r>
        <w:t xml:space="preserve">fits one of the listed categories; counsel for a State Department employee should ask for a designation.</w:t>
      </w:r>
    </w:p>
    <w:bookmarkEnd w:id="26"/>
    <w:bookmarkStart w:id="28" w:name="a.-causation"/>
    <w:p>
      <w:pPr>
        <w:pStyle w:val="Heading2"/>
      </w:pPr>
      <w:r>
        <w:t xml:space="preserve">3A. Causation</w:t>
      </w:r>
    </w:p>
    <w:p>
      <w:pPr>
        <w:pStyle w:val="FirstParagraph"/>
      </w:pPr>
      <w:r>
        <w:t xml:space="preserve">Novel injuries are proved through experts, and Federal Rule of Evidence 702, as amended December 1, 2023, requires</w:t>
      </w:r>
      <w:r>
        <w:t xml:space="preserve"> </w:t>
      </w:r>
      <w:r>
        <w:t xml:space="preserve">the proponent to show the court</w:t>
      </w:r>
      <w:r>
        <w:t xml:space="preserve"> </w:t>
      </w:r>
      <w:r>
        <w:t xml:space="preserve">“</w:t>
      </w:r>
      <w:r>
        <w:t xml:space="preserve">that it is more likely than not</w:t>
      </w:r>
      <w:r>
        <w:t xml:space="preserve">”</w:t>
      </w:r>
      <w:r>
        <w:t xml:space="preserve"> </w:t>
      </w:r>
      <w:r>
        <w:t xml:space="preserve">that the expert’s opinion reflects a reliable</w:t>
      </w:r>
      <w:r>
        <w:t xml:space="preserve"> </w:t>
      </w:r>
      <w:r>
        <w:t xml:space="preserve">application of reliable methods. Courts now apply that standard strictly to specific causation. The record on</w:t>
      </w:r>
      <w:r>
        <w:t xml:space="preserve"> </w:t>
      </w:r>
      <w:r>
        <w:t xml:space="preserve">anomalous health incidents shows the difficulty: 2024 studies at the National Institutes of Health found no</w:t>
      </w:r>
      <w:r>
        <w:t xml:space="preserve"> </w:t>
      </w:r>
      <w:r>
        <w:t xml:space="preserve">imaging evidence of brain injury in a group of affected U.S. personnel, while the symptoms remained real and</w:t>
      </w:r>
      <w:r>
        <w:t xml:space="preserve"> </w:t>
      </w:r>
      <w:r>
        <w:t xml:space="preserve">disabling. UAP injury claims should therefore be built on documented exposure (time, place, proximity), prompt</w:t>
      </w:r>
      <w:r>
        <w:t xml:space="preserve"> </w:t>
      </w:r>
      <w:r>
        <w:t xml:space="preserve">medical records, and a differential diagnosis, and should say plainly where the mechanism is unknown.</w:t>
      </w:r>
    </w:p>
    <w:p>
      <w:pPr>
        <w:pStyle w:val="BodyText"/>
      </w:pPr>
      <w:r>
        <w:t xml:space="preserve">A former director of the Navy’s UAP Task Force writes that encounters</w:t>
      </w:r>
      <w:r>
        <w:t xml:space="preserve"> </w:t>
      </w:r>
      <w:r>
        <w:t xml:space="preserve">“</w:t>
      </w:r>
      <w:r>
        <w:t xml:space="preserve">were often followed by human effects, burns,</w:t>
      </w:r>
      <w:r>
        <w:t xml:space="preserve"> </w:t>
      </w:r>
      <w:r>
        <w:t xml:space="preserve">disorientation, neurological damage,</w:t>
      </w:r>
      <w:r>
        <w:t xml:space="preserve">”</w:t>
      </w:r>
      <w:r>
        <w:t xml:space="preserve"> </w:t>
      </w:r>
      <w:r>
        <w:t xml:space="preserve">with symptoms that</w:t>
      </w:r>
      <w:r>
        <w:t xml:space="preserve"> </w:t>
      </w:r>
      <w:r>
        <w:t xml:space="preserve">“</w:t>
      </w:r>
      <w:r>
        <w:t xml:space="preserve">often mirrored radiation exposure</w:t>
      </w:r>
      <w:r>
        <w:t xml:space="preserve">”</w:t>
      </w:r>
      <w:r>
        <w:t xml:space="preserve"> </w:t>
      </w:r>
      <w:r>
        <w:t xml:space="preserve">(Jay Stratton,</w:t>
      </w:r>
      <w:r>
        <w:t xml:space="preserve"> </w:t>
      </w:r>
      <w:r>
        <w:rPr>
          <w:iCs/>
          <w:i/>
        </w:rPr>
        <w:t xml:space="preserve">Out of</w:t>
      </w:r>
      <w:r>
        <w:rPr>
          <w:iCs/>
          <w:i/>
        </w:rPr>
        <w:t xml:space="preserve"> </w:t>
      </w:r>
      <w:r>
        <w:rPr>
          <w:iCs/>
          <w:i/>
        </w:rPr>
        <w:t xml:space="preserve">the Shadows</w:t>
      </w:r>
      <w:r>
        <w:t xml:space="preserve"> </w:t>
      </w:r>
      <w:r>
        <w:t xml:space="preserve">ch. 11 (2026)), and that</w:t>
      </w:r>
      <w:r>
        <w:t xml:space="preserve"> </w:t>
      </w:r>
      <w:r>
        <w:t xml:space="preserve">“</w:t>
      </w:r>
      <w:r>
        <w:t xml:space="preserve">those with the most intense exposure survived only five to seven years past the</w:t>
      </w:r>
      <w:r>
        <w:t xml:space="preserve"> </w:t>
      </w:r>
      <w:r>
        <w:t xml:space="preserve">encounter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id.</w:t>
      </w:r>
      <w:r>
        <w:t xml:space="preserve"> </w:t>
      </w:r>
      <w:r>
        <w:t xml:space="preserve">ch. 48). If government data of that kind exist, they would be the most important evidence in any injury claim</w:t>
      </w:r>
      <w:r>
        <w:t xml:space="preserve"> </w:t>
      </w:r>
      <w:r>
        <w:t xml:space="preserve">and in the design of a compensation program, and they belong at the top of any records request (</w:t>
      </w:r>
      <w:hyperlink r:id="rId27">
        <w:r>
          <w:rPr>
            <w:rStyle w:val="Hyperlink"/>
          </w:rPr>
          <w:t xml:space="preserve">Form B1-1</w:t>
        </w:r>
      </w:hyperlink>
      <w:r>
        <w:t xml:space="preserve">).</w:t>
      </w:r>
    </w:p>
    <w:bookmarkEnd w:id="28"/>
    <w:bookmarkStart w:id="29" w:name="contractor-liability"/>
    <w:p>
      <w:pPr>
        <w:pStyle w:val="Heading2"/>
      </w:pPr>
      <w:r>
        <w:t xml:space="preserve">4. Contractor liability</w:t>
      </w:r>
    </w:p>
    <w:p>
      <w:pPr>
        <w:pStyle w:val="FirstParagraph"/>
      </w:pPr>
      <w:r>
        <w:t xml:space="preserve">Contractors who operated programs or handled material can be sued in state court for negligence and related</w:t>
      </w:r>
      <w:r>
        <w:t xml:space="preserve"> </w:t>
      </w:r>
      <w:r>
        <w:t xml:space="preserve">torts.</w:t>
      </w:r>
      <w:r>
        <w:t xml:space="preserve"> </w:t>
      </w:r>
      <w:r>
        <w:rPr>
          <w:iCs/>
          <w:i/>
        </w:rPr>
        <w:t xml:space="preserve">Hencely</w:t>
      </w:r>
      <w:r>
        <w:t xml:space="preserve"> </w:t>
      </w:r>
      <w:r>
        <w:t xml:space="preserve">holds that state tort claims arising from a military contractor’s combatant activities are</w:t>
      </w:r>
      <w:r>
        <w:t xml:space="preserve"> </w:t>
      </w:r>
      <w:r>
        <w:t xml:space="preserve">not preempted where the contractor was not required or authorized to take the action. The government</w:t>
      </w:r>
      <w:r>
        <w:t xml:space="preserve"> </w:t>
      </w:r>
      <w:r>
        <w:t xml:space="preserve">contractor defense of</w:t>
      </w:r>
      <w:r>
        <w:t xml:space="preserve"> </w:t>
      </w:r>
      <w:r>
        <w:rPr>
          <w:iCs/>
          <w:i/>
        </w:rPr>
        <w:t xml:space="preserve">Boyle v. United Technologies Corp.</w:t>
      </w:r>
      <w:r>
        <w:t xml:space="preserve">, 487 U.S. 500 (1988), protects contractors only</w:t>
      </w:r>
      <w:r>
        <w:t xml:space="preserve"> </w:t>
      </w:r>
      <w:r>
        <w:t xml:space="preserve">where the government approved reasonably precise specifications, the product conformed, and the contractor</w:t>
      </w:r>
      <w:r>
        <w:t xml:space="preserve"> </w:t>
      </w:r>
      <w:r>
        <w:t xml:space="preserve">warned of known dangers. Workers’ compensation exclusivity limits suits by a contractor’s own employees</w:t>
      </w:r>
      <w:r>
        <w:t xml:space="preserve"> </w:t>
      </w:r>
      <w:r>
        <w:t xml:space="preserve">against the employer, but not against other contractors.</w:t>
      </w:r>
    </w:p>
    <w:bookmarkEnd w:id="29"/>
    <w:bookmarkStart w:id="30" w:name="Xb86cae53a8d59f2b8bdad19561fb220bab4bb27"/>
    <w:p>
      <w:pPr>
        <w:pStyle w:val="Heading2"/>
      </w:pPr>
      <w:r>
        <w:t xml:space="preserve">5. A compensation statute for UAP-related injuries</w:t>
      </w:r>
    </w:p>
    <w:p>
      <w:pPr>
        <w:pStyle w:val="FirstParagraph"/>
      </w:pPr>
      <w:r>
        <w:t xml:space="preserve">The best model is the Camp Lejeune Justice Act of 2022, Pub. L. 117-168, §804, 136 Stat. 1759, 1802-04. Congress</w:t>
      </w:r>
      <w:r>
        <w:t xml:space="preserve"> </w:t>
      </w:r>
      <w:r>
        <w:t xml:space="preserve">created a federal cause of action for people,</w:t>
      </w:r>
      <w:r>
        <w:t xml:space="preserve"> </w:t>
      </w:r>
      <w:r>
        <w:t xml:space="preserve">“</w:t>
      </w:r>
      <w:r>
        <w:t xml:space="preserve">including a veteran,</w:t>
      </w:r>
      <w:r>
        <w:t xml:space="preserve">”</w:t>
      </w:r>
      <w:r>
        <w:t xml:space="preserve"> </w:t>
      </w:r>
      <w:r>
        <w:t xml:space="preserve">exposed to contaminated water at the base; set</w:t>
      </w:r>
      <w:r>
        <w:t xml:space="preserve"> </w:t>
      </w:r>
      <w:r>
        <w:t xml:space="preserve">a causation standard satisfied by evidence that the relationship between exposure and harm is</w:t>
      </w:r>
      <w:r>
        <w:t xml:space="preserve"> </w:t>
      </w:r>
      <w:r>
        <w:t xml:space="preserve">“</w:t>
      </w:r>
      <w:r>
        <w:t xml:space="preserve">at least as likely</w:t>
      </w:r>
      <w:r>
        <w:t xml:space="preserve"> </w:t>
      </w:r>
      <w:r>
        <w:t xml:space="preserve">as not</w:t>
      </w:r>
      <w:r>
        <w:t xml:space="preserve">”</w:t>
      </w:r>
      <w:r>
        <w:t xml:space="preserve"> </w:t>
      </w:r>
      <w:r>
        <w:t xml:space="preserve">(§804(c)(2)(B)); barred the United States from asserting the discretionary function exception (§804(f));</w:t>
      </w:r>
      <w:r>
        <w:t xml:space="preserve"> </w:t>
      </w:r>
      <w:r>
        <w:t xml:space="preserve">gave one district court exclusive jurisdiction (§804(d)); and offset veterans’ and Medicare benefits (§804(e)(2)).</w:t>
      </w:r>
      <w:r>
        <w:t xml:space="preserve"> </w:t>
      </w:r>
      <w:r>
        <w:t xml:space="preserve">Each of those features answers an obstacle in §2 above. Other models: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PACT Act</w:t>
      </w:r>
      <w:r>
        <w:t xml:space="preserve"> </w:t>
      </w:r>
      <w:r>
        <w:t xml:space="preserve">(same law): presumptions of service connection for listed conditions after defined toxic exposures,</w:t>
      </w:r>
      <w:r>
        <w:t xml:space="preserve"> </w:t>
      </w:r>
      <w:r>
        <w:t xml:space="preserve">which avoids case-by-case proof for veterans.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Radiation Exposure Compensation Act.</w:t>
      </w:r>
      <w:r>
        <w:t xml:space="preserve"> </w:t>
      </w:r>
      <w:r>
        <w:t xml:space="preserve">Extended in July 2025 to December 31, 2028 and expanded to new groups,</w:t>
      </w:r>
      <w:r>
        <w:t xml:space="preserve"> </w:t>
      </w:r>
      <w:r>
        <w:t xml:space="preserve">including Trinity test downwinders (Pub. L. 119-21, §§100201-100205).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EEOICPA Special Exposure Cohort.</w:t>
      </w:r>
      <w:r>
        <w:t xml:space="preserve"> </w:t>
      </w:r>
      <w:r>
        <w:t xml:space="preserve">Where it is not feasible to estimate a worker’s dose because records are</w:t>
      </w:r>
      <w:r>
        <w:t xml:space="preserve"> </w:t>
      </w:r>
      <w:r>
        <w:t xml:space="preserve">missing or classified, a class of workers can be added to a cohort entitled to compensation for listed cancers</w:t>
      </w:r>
      <w:r>
        <w:t xml:space="preserve"> </w:t>
      </w:r>
      <w:r>
        <w:t xml:space="preserve">without individual dose reconstruction (42 U.S.C. §7384q). That is the right answer for workers in programs whose</w:t>
      </w:r>
      <w:r>
        <w:t xml:space="preserve"> </w:t>
      </w:r>
      <w:r>
        <w:t xml:space="preserve">exposure records the government will not release.</w:t>
      </w:r>
    </w:p>
    <w:p>
      <w:pPr>
        <w:pStyle w:val="FirstParagraph"/>
      </w:pPr>
      <w:r>
        <w:t xml:space="preserve">Elements drawn from these models: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Eligibility categories</w:t>
      </w:r>
      <w:r>
        <w:t xml:space="preserve">: civilians with documented injuries from UAP encounters in the vicinity of</w:t>
      </w:r>
      <w:r>
        <w:t xml:space="preserve"> </w:t>
      </w:r>
      <w:r>
        <w:t xml:space="preserve">government operations; federal personnel, service members, and contractor employees exposed in UAP</w:t>
      </w:r>
      <w:r>
        <w:t xml:space="preserve"> </w:t>
      </w:r>
      <w:r>
        <w:t xml:space="preserve">programs.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Presumptions</w:t>
      </w:r>
      <w:r>
        <w:t xml:space="preserve"> </w:t>
      </w:r>
      <w:r>
        <w:t xml:space="preserve">of causation for listed conditions upon proof of presence or exposure (RECA model).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Records access</w:t>
      </w:r>
      <w:r>
        <w:t xml:space="preserve">: agencies must search classified records for exposure evidence and provide it to the</w:t>
      </w:r>
      <w:r>
        <w:t xml:space="preserve"> </w:t>
      </w:r>
      <w:r>
        <w:t xml:space="preserve">adjudicator (EEOICPA model).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Lump-sum and medical benefits</w:t>
      </w:r>
      <w:r>
        <w:t xml:space="preserve">; election of remedies.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Judicial review</w:t>
      </w:r>
      <w:r>
        <w:t xml:space="preserve"> </w:t>
      </w:r>
      <w:r>
        <w:t xml:space="preserve">under the APA.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AARO data</w:t>
      </w:r>
      <w:r>
        <w:t xml:space="preserve">: use the adverse physiological effects data AARO collects under §3373 to define conditions.</w:t>
      </w:r>
    </w:p>
    <w:bookmarkEnd w:id="30"/>
    <w:bookmarkStart w:id="32" w:name="practice-points"/>
    <w:p>
      <w:pPr>
        <w:pStyle w:val="Heading2"/>
      </w:pPr>
      <w:r>
        <w:t xml:space="preserve">6. Practice points</w:t>
      </w:r>
    </w:p>
    <w:p>
      <w:pPr>
        <w:pStyle w:val="Compact"/>
        <w:numPr>
          <w:ilvl w:val="0"/>
          <w:numId w:val="1006"/>
        </w:numPr>
      </w:pPr>
      <w:r>
        <w:t xml:space="preserve">Preserve medical records and obtain prompt specialist evaluation; document symptoms, timeline, and</w:t>
      </w:r>
      <w:r>
        <w:t xml:space="preserve"> </w:t>
      </w:r>
      <w:r>
        <w:t xml:space="preserve">witnesses.</w:t>
      </w:r>
    </w:p>
    <w:p>
      <w:pPr>
        <w:pStyle w:val="Compact"/>
        <w:numPr>
          <w:ilvl w:val="0"/>
          <w:numId w:val="1006"/>
        </w:numPr>
      </w:pPr>
      <w:r>
        <w:t xml:space="preserve">File FOIA requests for records of the event (</w:t>
      </w:r>
      <w:hyperlink r:id="rId27">
        <w:r>
          <w:rPr>
            <w:rStyle w:val="Hyperlink"/>
          </w:rPr>
          <w:t xml:space="preserve">Form B1-1</w:t>
        </w:r>
      </w:hyperlink>
      <w:r>
        <w:t xml:space="preserve">) and preservation demands (</w:t>
      </w:r>
      <w:hyperlink r:id="rId31">
        <w:r>
          <w:rPr>
            <w:rStyle w:val="Hyperlink"/>
          </w:rPr>
          <w:t xml:space="preserve">Form D4-1</w:t>
        </w:r>
      </w:hyperlink>
      <w:r>
        <w:t xml:space="preserve"> </w:t>
      </w:r>
      <w:r>
        <w:t xml:space="preserve">adapted).</w:t>
      </w:r>
    </w:p>
    <w:p>
      <w:pPr>
        <w:pStyle w:val="Compact"/>
        <w:numPr>
          <w:ilvl w:val="0"/>
          <w:numId w:val="1006"/>
        </w:numPr>
      </w:pPr>
      <w:r>
        <w:t xml:space="preserve">File an FTCA administrative claim within two years if government involvement is plausible.</w:t>
      </w:r>
    </w:p>
    <w:p>
      <w:pPr>
        <w:pStyle w:val="Compact"/>
        <w:numPr>
          <w:ilvl w:val="0"/>
          <w:numId w:val="1006"/>
        </w:numPr>
      </w:pPr>
      <w:r>
        <w:t xml:space="preserve">Report to AARO through its public reporting channel, so that an official record exists, but do not rely on AARO</w:t>
      </w:r>
      <w:r>
        <w:t xml:space="preserve"> </w:t>
      </w:r>
      <w:r>
        <w:t xml:space="preserve">to investigate: the site assumes it is part of the concealment. Give the same account to the treating physician,</w:t>
      </w:r>
      <w:r>
        <w:t xml:space="preserve"> </w:t>
      </w:r>
      <w:r>
        <w:t xml:space="preserve">the employing agency’s medical office, and (for service members) the command.</w:t>
      </w:r>
    </w:p>
    <w:p>
      <w:pPr>
        <w:pStyle w:val="Compact"/>
        <w:numPr>
          <w:ilvl w:val="0"/>
          <w:numId w:val="1006"/>
        </w:numPr>
      </w:pPr>
      <w:r>
        <w:t xml:space="preserve">For federal personnel, pursue FECA, VA, or HAVANA Act benefits as applicable; appeal denials.</w:t>
      </w:r>
    </w:p>
    <w:p>
      <w:pPr>
        <w:pStyle w:val="Compact"/>
        <w:numPr>
          <w:ilvl w:val="0"/>
          <w:numId w:val="1006"/>
        </w:numPr>
      </w:pPr>
      <w:r>
        <w:t xml:space="preserve">Evaluate state-law claims against contractors.</w:t>
      </w:r>
    </w:p>
    <w:bookmarkEnd w:id="32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Injuries from UAP Encounters and UAP Programs: Tort Claims, Benefits, and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7" Type="http://schemas.openxmlformats.org/officeDocument/2006/relationships/hyperlink" Target="https://nhilaw.com/forms/b1-1.html" TargetMode="External"/><Relationship Id="rId31" Type="http://schemas.openxmlformats.org/officeDocument/2006/relationships/hyperlink" Target="https://nhilaw.com/forms/d4-1.html" TargetMode="External"/><Relationship Id="rId21" Type="http://schemas.openxmlformats.org/officeDocument/2006/relationships/hyperlink" Target="https://nhilaw.com/forms/d5-1.html" TargetMode="External"/><Relationship Id="rId24" Type="http://schemas.openxmlformats.org/officeDocument/2006/relationships/hyperlink" Target="https://nhilaw.com/issues/d4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7" Type="http://schemas.openxmlformats.org/officeDocument/2006/relationships/hyperlink" Target="https://nhilaw.com/forms/b1-1.html" TargetMode="External"/><Relationship Id="rId31" Type="http://schemas.openxmlformats.org/officeDocument/2006/relationships/hyperlink" Target="https://nhilaw.com/forms/d4-1.html" TargetMode="External"/><Relationship Id="rId21" Type="http://schemas.openxmlformats.org/officeDocument/2006/relationships/hyperlink" Target="https://nhilaw.com/forms/d5-1.html" TargetMode="External"/><Relationship Id="rId24" Type="http://schemas.openxmlformats.org/officeDocument/2006/relationships/hyperlink" Target="https://nhilaw.com/issues/d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Injuries from UAP Encounters and UAP Programs: Tort Claims, Benefits, and Compensation Models</dc:title>
  <dc:creator>nhilaw.com</dc:creator>
  <cp:keywords/>
  <dcterms:created xsi:type="dcterms:W3CDTF">2026-10-19T03:13:41Z</dcterms:created>
  <dcterms:modified xsi:type="dcterms:W3CDTF">2026-10-19T03:13:41Z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nhilaw.com/issues/d5.html</vt:lpwstr>
  </property>
</Properties>
</file>