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suppressLineNumbers/>
      </w:pPr>
      <w:r>
        <w:rPr>
          <w:smallCaps/>
          <w:color w:val="1F6E6E"/>
          <w:sz w:val="18"/>
        </w:rPr>
        <w:t xml:space="preserve">nhilaw.com sample document</w:t>
      </w:r>
    </w:p>
    <w:bookmarkStart w:id="21" w:name="X31782d1d11db22b6e77e40a0932dfba19a5fd7f"/>
    <w:p>
      <w:pPr>
        <w:pStyle w:val="Heading1"/>
        <w:suppressLineNumbers/>
      </w:pPr>
      <w:r>
        <w:t xml:space="preserve">Form D6-1. Model Statutory Provision: Civilian Benefit Review and Release of UAP-Derived Technology</w:t>
      </w:r>
    </w:p>
    <w:p>
      <w:pPr>
        <w:pStyle w:val="FirstParagraph"/>
        <w:suppressLineNumbers/>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https://nhilaw.com/forms/d6-1.html</w:t>
      </w:r>
    </w:p>
    <w:p>
      <w:pPr>
        <w:pStyle w:val="BodyText"/>
        <w:suppressLineNumbers/>
        <w:spacing w:after="160" w:line="259" w:lineRule="auto"/>
      </w:pPr>
      <w:r>
        <w:rPr>
          <w:bCs/>
          <w:b/>
        </w:rPr>
        <w:t xml:space="preserve">When to use.</w:t>
      </w:r>
      <w:r>
        <w:t xml:space="preserve"> </w:t>
      </w:r>
      <w:r>
        <w:t xml:space="preserve">Legislators drafting a review and release process for UAP-derived technology with civilian benefit.</w:t>
      </w:r>
      <w:r>
        <w:t xml:space="preserve"> </w:t>
      </w:r>
      <w:r>
        <w:rPr>
          <w:bCs/>
          <w:b/>
        </w:rPr>
        <w:t xml:space="preserve">Not for:</w:t>
      </w:r>
      <w:r>
        <w:t xml:space="preserve"> </w:t>
      </w:r>
      <w:r>
        <w:t xml:space="preserve">Patent questions about NHI-derived inventions (</w:t>
      </w:r>
      <w:hyperlink r:id="rId20">
        <w:r>
          <w:rPr>
            <w:rStyle w:val="Hyperlink"/>
          </w:rPr>
          <w:t xml:space="preserve">Form E6-3</w:t>
        </w:r>
      </w:hyperlink>
      <w:r>
        <w:t xml:space="preserve">).</w:t>
      </w:r>
    </w:p>
    <w:p>
      <w:pPr>
        <w:pStyle w:val="BodyText"/>
        <w:suppressLineNumbers/>
        <w:spacing w:after="160" w:line="259" w:lineRule="auto"/>
      </w:pPr>
      <w:r>
        <w:rPr>
          <w:bCs/>
          <w:b/>
        </w:rPr>
        <w:t xml:space="preserve">Deadlines.</w:t>
      </w:r>
      <w:r>
        <w:t xml:space="preserve"> </w:t>
      </w:r>
      <w:r>
        <w:t xml:space="preserve">None.</w:t>
      </w:r>
    </w:p>
    <w:p>
      <w:pPr>
        <w:pStyle w:val="BodyText"/>
        <w:suppressLineNumbers/>
        <w:spacing w:lineRule="exact" w:line="40" w:before="0" w:after="0"/>
        <w:sectPr>
          <w:headerReference w:type="default" r:id="rId9"/>
          <w:footerReference w:type="default" r:id="rId10"/>
          <w:pgSz w:h="15840" w:w="12240"/>
          <w:pgMar w:bottom="1440" w:left="1440" w:right="1440" w:top="1440" w:header="720" w:footer="576"/>
        </w:sectPr>
      </w:pPr>
    </w:p>
    <w:tbl>
      <w:tblPr>
        <w:tblW w:type="auto" w:w="0"/>
        <w:tblLook w:firstColumn="1" w:firstRow="1" w:lastColumn="0" w:lastRow="0" w:noHBand="0" w:noVBand="1" w:val="04A0"/>
      </w:tblPr>
      <w:tblGrid>
        <w:gridCol w:w="4680"/>
        <w:gridCol w:w="4680"/>
      </w:tblGrid>
      <w:tr>
        <w:tc>
          <w:tcPr>
            <w:tcW w:type="dxa" w:w="4608"/>
          </w:tcPr>
          <w:p>
            <w:r>
              <w:rPr>
                <w:rFonts w:ascii="Century Schoolbook" w:hAnsi="Century Schoolbook" w:cs="Century Schoolbook" w:eastAsia="Century Schoolbook"/>
                <w:smallCaps/>
                <w:sz w:val="24"/>
              </w:rPr>
              <w:t>[___]TH CONGRESS</w:t>
            </w:r>
          </w:p>
          <w:p>
            <w:r>
              <w:rPr>
                <w:rFonts w:ascii="Century Schoolbook" w:hAnsi="Century Schoolbook" w:cs="Century Schoolbook" w:eastAsia="Century Schoolbook"/>
                <w:smallCaps/>
                <w:sz w:val="24"/>
              </w:rPr>
              <w:t>[___] SESSION</w:t>
            </w:r>
          </w:p>
        </w:tc>
        <w:tc>
          <w:tcPr>
            <w:tcW w:type="dxa" w:w="4752"/>
          </w:tcPr>
          <w:p>
            <w:pPr>
              <w:jc w:val="right"/>
            </w:pPr>
            <w:r>
              <w:rPr>
                <w:rFonts w:ascii="Century Schoolbook" w:hAnsi="Century Schoolbook" w:cs="Century Schoolbook" w:eastAsia="Century Schoolbook"/>
                <w:b/>
                <w:sz w:val="52"/>
              </w:rPr>
              <w:t>H. R. [____]</w:t>
            </w:r>
          </w:p>
        </w:tc>
      </w:tr>
    </w:tbl>
    <w:p>
      <w:pPr>
        <w:suppressLineNumbers/>
      </w:pPr>
    </w:p>
    <w:p>
      <w:pPr>
        <w:suppressLineNumbers/>
        <w:pBdr>
          <w:bottom w:val="single" w:sz="8" w:space="6" w:color="000000"/>
        </w:pBdr>
        <w:spacing w:before="200" w:after="200"/>
        <w:jc w:val="center"/>
      </w:pPr>
      <w:r>
        <w:rPr>
          <w:rFonts w:ascii="Century Schoolbook" w:hAnsi="Century Schoolbook" w:cs="Century Schoolbook" w:eastAsia="Century Schoolbook"/>
          <w:b w:val="0"/>
          <w:i w:val="0"/>
          <w:smallCaps w:val="0"/>
          <w:sz w:val="22"/>
        </w:rPr>
        <w:t>To provide for a civilian benefit review of technologies derived from unidentified anomalous phenomena, and for other purposes.</w:t>
      </w:r>
    </w:p>
    <w:p>
      <w:pPr>
        <w:suppressLineNumbers/>
        <w:spacing w:before="280" w:after="160"/>
        <w:jc w:val="center"/>
      </w:pPr>
      <w:r>
        <w:rPr>
          <w:rFonts w:ascii="Century Schoolbook" w:hAnsi="Century Schoolbook" w:cs="Century Schoolbook" w:eastAsia="Century Schoolbook"/>
          <w:b w:val="0"/>
          <w:i w:val="0"/>
          <w:smallCaps w:val="0"/>
          <w:sz w:val="24"/>
        </w:rPr>
        <w:t>IN THE HOUSE OF REPRESENTATIVES</w:t>
      </w:r>
    </w:p>
    <w:p>
      <w:pPr>
        <w:suppressLineNumbers/>
        <w:spacing w:before="0" w:after="160"/>
        <w:jc w:val="center"/>
      </w:pPr>
      <w:r>
        <w:rPr>
          <w:rFonts w:ascii="Century Schoolbook" w:hAnsi="Century Schoolbook" w:cs="Century Schoolbook" w:eastAsia="Century Schoolbook"/>
          <w:b w:val="0"/>
          <w:i w:val="0"/>
          <w:smallCaps w:val="0"/>
          <w:sz w:val="22"/>
        </w:rPr>
        <w:t>[MONTH DAY], [YEAR]</w:t>
      </w:r>
    </w:p>
    <w:p>
      <w:pPr>
        <w:suppressLineNumbers/>
        <w:pBdr>
          <w:bottom w:val="single" w:sz="8" w:space="6" w:color="000000"/>
        </w:pBdr>
        <w:spacing w:before="0" w:after="200"/>
        <w:ind w:left="720"/>
      </w:pPr>
      <w:r>
        <w:rPr>
          <w:rFonts w:ascii="Century Schoolbook" w:hAnsi="Century Schoolbook" w:cs="Century Schoolbook" w:eastAsia="Century Schoolbook"/>
          <w:smallCaps/>
          <w:sz w:val="22"/>
        </w:rPr>
        <w:t>[Mr./Ms. ________]</w:t>
      </w:r>
      <w:r>
        <w:rPr>
          <w:rFonts w:ascii="Century Schoolbook" w:hAnsi="Century Schoolbook" w:cs="Century Schoolbook" w:eastAsia="Century Schoolbook"/>
          <w:sz w:val="22"/>
        </w:rPr>
        <w:t xml:space="preserve"> (for [himself/herself and ________]) introduced the following bill; which was referred to the Committee on [________]</w:t>
      </w:r>
    </w:p>
    <w:p>
      <w:pPr>
        <w:suppressLineNumbers/>
        <w:spacing w:before="440" w:after="200"/>
        <w:jc w:val="center"/>
      </w:pPr>
      <w:r>
        <w:rPr>
          <w:rFonts w:ascii="Century Schoolbook" w:hAnsi="Century Schoolbook" w:cs="Century Schoolbook" w:eastAsia="Century Schoolbook"/>
          <w:b/>
          <w:i w:val="0"/>
          <w:smallCaps w:val="0"/>
          <w:sz w:val="52"/>
        </w:rPr>
        <w:t>A BILL</w:t>
      </w:r>
    </w:p>
    <w:p>
      <w:pPr>
        <w:suppressLineNumbers/>
        <w:pBdr>
          <w:bottom w:val="single" w:sz="8" w:space="6" w:color="000000"/>
        </w:pBdr>
        <w:spacing w:before="0" w:after="240"/>
        <w:ind w:left="1152" w:right="1152"/>
        <w:jc w:val="center"/>
      </w:pPr>
      <w:r>
        <w:rPr>
          <w:rFonts w:ascii="Century Schoolbook" w:hAnsi="Century Schoolbook" w:cs="Century Schoolbook" w:eastAsia="Century Schoolbook"/>
          <w:b w:val="0"/>
          <w:i w:val="0"/>
          <w:smallCaps w:val="0"/>
          <w:sz w:val="24"/>
        </w:rPr>
        <w:t>To provide for a civilian benefit review of technologies derived from unidentified anomalous phenomena, and for other purposes.</w:t>
      </w:r>
    </w:p>
    <w:p>
      <w:pPr>
        <w:suppressLineNumbers/>
        <w:spacing w:before="0" w:after="0"/>
      </w:pPr>
      <w:r>
        <w:br w:type="page"/>
      </w:r>
    </w:p>
    <w:p>
      <w:pPr>
        <w:spacing w:lineRule="exact" w:line="480" w:before="0" w:after="0"/>
        <w:ind w:firstLine="720"/>
      </w:pPr>
      <w:r>
        <w:rPr>
          <w:rFonts w:ascii="Century Schoolbook" w:hAnsi="Century Schoolbook" w:cs="Century Schoolbook" w:eastAsia="Century Schoolbook"/>
          <w:b w:val="0"/>
          <w:i w:val="0"/>
          <w:sz w:val="24"/>
        </w:rPr>
        <w:t>Be it enacted by the Senate and House of Representatives of the United States of America in Congress assembled,</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CIVILIAN BENEFIT REVIEW OF TECHNOLOGIES DERIVED FROM UNIDENTIFIED ANOMALOUS PHENOMENA.</w:t>
      </w:r>
    </w:p>
    <w:p>
      <w:pPr>
        <w:pStyle w:val="BodyText"/>
        <w:spacing w:lineRule="exact" w:line="480" w:before="0" w:after="0"/>
        <w:ind w:left="0" w:firstLine="720"/>
        <w:jc w:val="both"/>
      </w:pPr>
      <w:r>
        <w:t xml:space="preserve">(a)</w:t>
      </w:r>
      <w:r>
        <w:t xml:space="preserve"> </w:t>
      </w:r>
      <w:r>
        <w:rPr>
          <w:bCs/>
          <w:rFonts w:ascii="Century Schoolbook" w:hAnsi="Century Schoolbook" w:cs="Century Schoolbook" w:eastAsia="Century Schoolbook"/>
          <w:b w:val="0"/>
          <w:smallCaps/>
          <w:sz w:val="24"/>
        </w:rPr>
        <w:t>INVENTORY.—</w:t>
      </w:r>
      <w:r/>
      <w:r>
        <w:t xml:space="preserve">Not later than 180 days after enactment, the Secretary of War, the Secretary of Energy,</w:t>
      </w:r>
      <w:r>
        <w:t xml:space="preserve"> </w:t>
      </w:r>
      <w:r>
        <w:t xml:space="preserve">the Director of National Intelligence, and the Administrator of the National Aeronautics and Space</w:t>
      </w:r>
      <w:r>
        <w:t xml:space="preserve"> </w:t>
      </w:r>
      <w:r>
        <w:t xml:space="preserve">Administration shall jointly submit to the appropriate congressional committees an inventory of every</w:t>
      </w:r>
      <w:r>
        <w:t xml:space="preserve"> </w:t>
      </w:r>
      <w:r>
        <w:t xml:space="preserve">technology, material, process, or body of scientific knowledge derived in whole or in part from the study of</w:t>
      </w:r>
      <w:r>
        <w:t xml:space="preserve"> </w:t>
      </w:r>
      <w:r>
        <w:t xml:space="preserve">unidentified anomalous phenomena or technologies of unknown origin, whether held by the Federal Government</w:t>
      </w:r>
      <w:r>
        <w:t xml:space="preserve"> </w:t>
      </w:r>
      <w:r>
        <w:t xml:space="preserve">or by any contractor, including—</w:t>
      </w:r>
    </w:p>
    <w:p>
      <w:pPr>
        <w:pStyle w:val="BodyText"/>
        <w:spacing w:lineRule="exact" w:line="480" w:before="0" w:after="0"/>
        <w:ind w:left="720" w:firstLine="720"/>
        <w:jc w:val="both"/>
      </w:pPr>
      <w:r>
        <w:t xml:space="preserve">(1) a description of each item;</w:t>
      </w:r>
    </w:p>
    <w:p>
      <w:pPr>
        <w:pStyle w:val="BodyText"/>
        <w:spacing w:lineRule="exact" w:line="480" w:before="0" w:after="0"/>
        <w:ind w:left="720" w:firstLine="720"/>
        <w:jc w:val="both"/>
      </w:pPr>
      <w:r>
        <w:t xml:space="preserve">(2) its potential applications in energy generation, storage, or transmission; medicine and health;</w:t>
      </w:r>
      <w:r>
        <w:t xml:space="preserve"> </w:t>
      </w:r>
      <w:r>
        <w:t xml:space="preserve">materials; transportation; and environmental protection;</w:t>
      </w:r>
    </w:p>
    <w:p>
      <w:pPr>
        <w:pStyle w:val="BodyText"/>
        <w:spacing w:lineRule="exact" w:line="480" w:before="0" w:after="0"/>
        <w:ind w:left="720" w:firstLine="720"/>
        <w:jc w:val="both"/>
      </w:pPr>
      <w:r>
        <w:t xml:space="preserve">(3) its current classification and export control status; and</w:t>
      </w:r>
    </w:p>
    <w:p>
      <w:pPr>
        <w:pStyle w:val="BodyText"/>
        <w:spacing w:lineRule="exact" w:line="480" w:before="0" w:after="0"/>
        <w:ind w:left="720" w:firstLine="720"/>
        <w:jc w:val="both"/>
      </w:pPr>
      <w:r>
        <w:t xml:space="preserve">(4) the identity of each holder.</w:t>
      </w:r>
      <w:r>
        <w:t xml:space="preserve"> </w:t>
      </w:r>
      <w:r>
        <w:t xml:space="preserve">The inventory may include a classified annex.</w:t>
      </w:r>
    </w:p>
    <w:p>
      <w:pPr>
        <w:pStyle w:val="BodyText"/>
        <w:spacing w:lineRule="exact" w:line="480" w:before="0" w:after="0"/>
        <w:ind w:left="0" w:firstLine="720"/>
        <w:jc w:val="both"/>
      </w:pPr>
      <w:r>
        <w:t xml:space="preserve">(b)</w:t>
      </w:r>
      <w:r>
        <w:t xml:space="preserve"> </w:t>
      </w:r>
      <w:r>
        <w:rPr>
          <w:bCs/>
          <w:rFonts w:ascii="Century Schoolbook" w:hAnsi="Century Schoolbook" w:cs="Century Schoolbook" w:eastAsia="Century Schoolbook"/>
          <w:b w:val="0"/>
          <w:smallCaps/>
          <w:sz w:val="24"/>
        </w:rPr>
        <w:t>CIVILIAN BENEFIT REVIEW BOARD.—</w:t>
      </w:r>
      <w:r/>
      <w:r>
        <w:t xml:space="preserve">There is established a Civilian Benefit Review Board composed of [7]</w:t>
      </w:r>
      <w:r>
        <w:t xml:space="preserve"> </w:t>
      </w:r>
      <w:r>
        <w:t xml:space="preserve">members appointed by the President, including the Director of the National Institutes of Health or designee,</w:t>
      </w:r>
      <w:r>
        <w:t xml:space="preserve"> </w:t>
      </w:r>
      <w:r>
        <w:t xml:space="preserve">the Director of the Office of Science of the Department of Energy or designee, two members recommended by</w:t>
      </w:r>
      <w:r>
        <w:t xml:space="preserve"> </w:t>
      </w:r>
      <w:r>
        <w:t xml:space="preserve">the National Academies of Sciences, Engineering, and Medicine, and [three] public members with relevant</w:t>
      </w:r>
      <w:r>
        <w:t xml:space="preserve"> </w:t>
      </w:r>
      <w:r>
        <w:t xml:space="preserve">expertise. Members shall be granted access to all items in the inventory.</w:t>
      </w:r>
    </w:p>
    <w:p>
      <w:pPr>
        <w:pStyle w:val="BodyText"/>
        <w:spacing w:lineRule="exact" w:line="480" w:before="0" w:after="0"/>
        <w:ind w:left="0" w:firstLine="720"/>
        <w:jc w:val="both"/>
      </w:pPr>
      <w:r>
        <w:t xml:space="preserve">(c)</w:t>
      </w:r>
      <w:r>
        <w:t xml:space="preserve"> </w:t>
      </w:r>
      <w:r>
        <w:rPr>
          <w:bCs/>
          <w:rFonts w:ascii="Century Schoolbook" w:hAnsi="Century Schoolbook" w:cs="Century Schoolbook" w:eastAsia="Century Schoolbook"/>
          <w:b w:val="0"/>
          <w:smallCaps/>
          <w:sz w:val="24"/>
        </w:rPr>
        <w:t>REVIEW.—</w:t>
      </w:r>
      <w:r/>
      <w:r>
        <w:t xml:space="preserve">The Board shall review each item in the inventory and determine whether it has significant</w:t>
      </w:r>
      <w:r>
        <w:t xml:space="preserve"> </w:t>
      </w:r>
      <w:r>
        <w:t xml:space="preserve">potential to prevent death, disease, or serious harm, or to provide clean and affordable energy.</w:t>
      </w:r>
    </w:p>
    <w:p>
      <w:pPr>
        <w:pStyle w:val="BodyText"/>
        <w:spacing w:lineRule="exact" w:line="480" w:before="0" w:after="0"/>
        <w:ind w:left="0" w:firstLine="720"/>
        <w:jc w:val="both"/>
      </w:pPr>
      <w:r>
        <w:t xml:space="preserve">(d)</w:t>
      </w:r>
      <w:r>
        <w:t xml:space="preserve"> </w:t>
      </w:r>
      <w:r>
        <w:rPr>
          <w:bCs/>
          <w:rFonts w:ascii="Century Schoolbook" w:hAnsi="Century Schoolbook" w:cs="Century Schoolbook" w:eastAsia="Century Schoolbook"/>
          <w:b w:val="0"/>
          <w:smallCaps/>
          <w:sz w:val="24"/>
        </w:rPr>
        <w:t>PRESUMPTION OF RELEASE.—</w:t>
      </w:r>
      <w:r/>
      <w:r>
        <w:t xml:space="preserve">An item the Board determines under subsection (c) to have significant civilian</w:t>
      </w:r>
      <w:r>
        <w:t xml:space="preserve"> </w:t>
      </w:r>
      <w:r>
        <w:t xml:space="preserve">benefit shall be declassified and made available for licensing not later than [2] years after the</w:t>
      </w:r>
      <w:r>
        <w:t xml:space="preserve"> </w:t>
      </w:r>
      <w:r>
        <w:t xml:space="preserve">determination, unless the Secretary of War or the Director of National Intelligence certifies to the</w:t>
      </w:r>
      <w:r>
        <w:t xml:space="preserve"> </w:t>
      </w:r>
      <w:r>
        <w:t xml:space="preserve">appropriate congressional committees, with clear and convincing evidence, that release of specified elements</w:t>
      </w:r>
      <w:r>
        <w:t xml:space="preserve"> </w:t>
      </w:r>
      <w:r>
        <w:t xml:space="preserve">would cause identifiable and serious damage to national security that outweighs the civilian benefit. A</w:t>
      </w:r>
      <w:r>
        <w:t xml:space="preserve"> </w:t>
      </w:r>
      <w:r>
        <w:t xml:space="preserve">certification shall identify the specific elements withheld, shall be reviewed annually, and shall expire</w:t>
      </w:r>
      <w:r>
        <w:t xml:space="preserve"> </w:t>
      </w:r>
      <w:r>
        <w:t xml:space="preserve">after [3] years unless renewed.</w:t>
      </w:r>
    </w:p>
    <w:p>
      <w:pPr>
        <w:pStyle w:val="BodyText"/>
        <w:spacing w:lineRule="exact" w:line="480" w:before="0" w:after="0"/>
        <w:ind w:left="0" w:firstLine="720"/>
        <w:jc w:val="both"/>
      </w:pPr>
      <w:r>
        <w:t xml:space="preserve">(e)</w:t>
      </w:r>
      <w:r>
        <w:t xml:space="preserve"> </w:t>
      </w:r>
      <w:r>
        <w:rPr>
          <w:bCs/>
          <w:rFonts w:ascii="Century Schoolbook" w:hAnsi="Century Schoolbook" w:cs="Century Schoolbook" w:eastAsia="Century Schoolbook"/>
          <w:b w:val="0"/>
          <w:smallCaps/>
          <w:sz w:val="24"/>
        </w:rPr>
        <w:t>LICENSING.—</w:t>
      </w:r>
      <w:r/>
      <w:r>
        <w:t xml:space="preserve">(1) Released items shall be licensed through the technology transfer authorities of section 12</w:t>
      </w:r>
      <w:r>
        <w:t xml:space="preserve"> </w:t>
      </w:r>
      <w:r>
        <w:t xml:space="preserve">of the Stevenson-Wydler Technology Innovation Act of 1980 (15 U.S.C. 3710a) and chapter 18 of title 35,</w:t>
      </w:r>
      <w:r>
        <w:t xml:space="preserve"> </w:t>
      </w:r>
      <w:r>
        <w:t xml:space="preserve">United States Code, on terms that ensure reasonable availability and pricing, with march-in rights</w:t>
      </w:r>
      <w:r>
        <w:t xml:space="preserve"> </w:t>
      </w:r>
      <w:r>
        <w:t xml:space="preserve">exercisable under section 203 of title 35 to alleviate health or safety needs.</w:t>
      </w:r>
    </w:p>
    <w:p>
      <w:pPr>
        <w:pStyle w:val="BodyText"/>
        <w:spacing w:lineRule="exact" w:line="480" w:before="0" w:after="0"/>
        <w:ind w:left="720" w:firstLine="720"/>
        <w:jc w:val="both"/>
      </w:pPr>
      <w:r>
        <w:t xml:space="preserve">(2)</w:t>
      </w:r>
      <w:r>
        <w:t xml:space="preserve"> </w:t>
      </w:r>
      <w:r>
        <w:rPr>
          <w:bCs/>
          <w:rFonts w:ascii="Century Schoolbook" w:hAnsi="Century Schoolbook" w:cs="Century Schoolbook" w:eastAsia="Century Schoolbook"/>
          <w:b w:val="0"/>
          <w:smallCaps/>
          <w:sz w:val="24"/>
        </w:rPr>
        <w:t>PATENTS AFFECTED WITH THE PUBLIC INTEREST.—</w:t>
      </w:r>
      <w:r/>
      <w:r>
        <w:t xml:space="preserve">The Board may declare any patent, or any right under a</w:t>
      </w:r>
      <w:r>
        <w:t xml:space="preserve"> </w:t>
      </w:r>
      <w:r>
        <w:t xml:space="preserve">contract, held by a contractor or other person in an item determined under subsection (c) to have significant</w:t>
      </w:r>
      <w:r>
        <w:t xml:space="preserve"> </w:t>
      </w:r>
      <w:r>
        <w:t xml:space="preserve">civilian benefit, to be affected with the public interest if the Board finds that licensing it is of primary</w:t>
      </w:r>
      <w:r>
        <w:t xml:space="preserve"> </w:t>
      </w:r>
      <w:r>
        <w:t xml:space="preserve">importance to accomplishing the purposes of this section. After such a declaration, any qualified applicant shall</w:t>
      </w:r>
      <w:r>
        <w:t xml:space="preserve"> </w:t>
      </w:r>
      <w:r>
        <w:t xml:space="preserve">be entitled to a nonexclusive license on terms the Board finds reasonable, including a reasonable royalty fixed by</w:t>
      </w:r>
      <w:r>
        <w:t xml:space="preserve"> </w:t>
      </w:r>
      <w:r>
        <w:t xml:space="preserve">the Board if the parties do not agree. The declaration and the royalty determination are subject to review under</w:t>
      </w:r>
      <w:r>
        <w:t xml:space="preserve"> </w:t>
      </w:r>
      <w:r>
        <w:t xml:space="preserve">chapter 7 of title 5, United States Code.</w:t>
      </w:r>
    </w:p>
    <w:p>
      <w:pPr>
        <w:pStyle w:val="BodyText"/>
        <w:spacing w:lineRule="exact" w:line="480" w:before="0" w:after="0"/>
        <w:ind w:left="0" w:firstLine="720"/>
        <w:jc w:val="both"/>
      </w:pPr>
      <w:r>
        <w:t xml:space="preserve">(f)</w:t>
      </w:r>
      <w:r>
        <w:t xml:space="preserve"> </w:t>
      </w:r>
      <w:r>
        <w:rPr>
          <w:bCs/>
          <w:rFonts w:ascii="Century Schoolbook" w:hAnsi="Century Schoolbook" w:cs="Century Schoolbook" w:eastAsia="Century Schoolbook"/>
          <w:b w:val="0"/>
          <w:smallCaps/>
          <w:sz w:val="24"/>
        </w:rPr>
        <w:t>EXPORT CONTROLS.—</w:t>
      </w:r>
      <w:r/>
      <w:r>
        <w:t xml:space="preserve">Controls applied to released items shall be limited to elements specifically</w:t>
      </w:r>
      <w:r>
        <w:t xml:space="preserve"> </w:t>
      </w:r>
      <w:r>
        <w:t xml:space="preserve">identified as presenting national security risks, and the Secretary of Commerce shall review any temporary</w:t>
      </w:r>
      <w:r>
        <w:t xml:space="preserve"> </w:t>
      </w:r>
      <w:r>
        <w:t xml:space="preserve">control within one year.</w:t>
      </w:r>
    </w:p>
    <w:p>
      <w:pPr>
        <w:pStyle w:val="BodyText"/>
        <w:spacing w:lineRule="exact" w:line="480" w:before="0" w:after="0"/>
        <w:ind w:left="0" w:firstLine="720"/>
        <w:jc w:val="both"/>
      </w:pPr>
      <w:r>
        <w:t xml:space="preserve">(g)</w:t>
      </w:r>
      <w:r>
        <w:t xml:space="preserve"> </w:t>
      </w:r>
      <w:r>
        <w:rPr>
          <w:bCs/>
          <w:rFonts w:ascii="Century Schoolbook" w:hAnsi="Century Schoolbook" w:cs="Century Schoolbook" w:eastAsia="Century Schoolbook"/>
          <w:b w:val="0"/>
          <w:smallCaps/>
          <w:sz w:val="24"/>
        </w:rPr>
        <w:t>COMPENSATION.—</w:t>
      </w:r>
      <w:r/>
      <w:r>
        <w:t xml:space="preserve">(1) Nothing in this section authorizes the taking of private property without just</w:t>
      </w:r>
      <w:r>
        <w:t xml:space="preserve"> </w:t>
      </w:r>
      <w:r>
        <w:t xml:space="preserve">compensation.</w:t>
      </w:r>
    </w:p>
    <w:p>
      <w:pPr>
        <w:pStyle w:val="BodyText"/>
        <w:spacing w:lineRule="exact" w:line="480" w:before="0" w:after="0"/>
        <w:ind w:left="720" w:firstLine="720"/>
        <w:jc w:val="both"/>
      </w:pPr>
      <w:r>
        <w:t xml:space="preserve">(2) A contractor or other person who claims a property interest in an item that is declassified, licensed, or</w:t>
      </w:r>
      <w:r>
        <w:t xml:space="preserve"> </w:t>
      </w:r>
      <w:r>
        <w:t xml:space="preserve">released under this section may file a claim with the Secretary of War (or, for an item held by another agency, the</w:t>
      </w:r>
      <w:r>
        <w:t xml:space="preserve"> </w:t>
      </w:r>
      <w:r>
        <w:t xml:space="preserve">head of that agency) within 1 year after the release. The claim shall identify the interest, its source (including</w:t>
      </w:r>
      <w:r>
        <w:t xml:space="preserve"> </w:t>
      </w:r>
      <w:r>
        <w:t xml:space="preserve">any contract, license, or patent), and the compensation sought.</w:t>
      </w:r>
    </w:p>
    <w:p>
      <w:pPr>
        <w:pStyle w:val="BodyText"/>
        <w:spacing w:lineRule="exact" w:line="480" w:before="0" w:after="0"/>
        <w:ind w:left="720" w:firstLine="720"/>
        <w:jc w:val="both"/>
      </w:pPr>
      <w:r>
        <w:t xml:space="preserve">(3) The Secretary shall decide the claim within 180 days. In deciding the claim the Secretary shall take into</w:t>
      </w:r>
      <w:r>
        <w:t xml:space="preserve"> </w:t>
      </w:r>
      <w:r>
        <w:t xml:space="preserve">account the Government’s funding of the development of the item, any rights of the Government under the applicable</w:t>
      </w:r>
      <w:r>
        <w:t xml:space="preserve"> </w:t>
      </w:r>
      <w:r>
        <w:t xml:space="preserve">contract (including rights under section 202 of title 35, United States Code, and the data rights clauses of the</w:t>
      </w:r>
      <w:r>
        <w:t xml:space="preserve"> </w:t>
      </w:r>
      <w:r>
        <w:t xml:space="preserve">Defense Federal Acquisition Regulation Supplement), and any royalties the claimant receives under subsection (e).</w:t>
      </w:r>
    </w:p>
    <w:p>
      <w:pPr>
        <w:pStyle w:val="BodyText"/>
        <w:spacing w:lineRule="exact" w:line="480" w:before="0" w:after="0"/>
        <w:ind w:left="720" w:firstLine="720"/>
        <w:jc w:val="both"/>
      </w:pPr>
      <w:r>
        <w:t xml:space="preserve">(4) A claimant dissatisfied with the decision, or who receives no decision within 180 days, may bring an action in</w:t>
      </w:r>
      <w:r>
        <w:t xml:space="preserve"> </w:t>
      </w:r>
      <w:r>
        <w:t xml:space="preserve">the United States Court of Federal Claims under section 1491 of title 28, United States Code. Section 1498 of that</w:t>
      </w:r>
      <w:r>
        <w:t xml:space="preserve"> </w:t>
      </w:r>
      <w:r>
        <w:t xml:space="preserve">title applies to any use of a patented invention under this section.</w:t>
      </w:r>
    </w:p>
    <w:p>
      <w:pPr>
        <w:pStyle w:val="BodyText"/>
        <w:spacing w:lineRule="exact" w:line="480" w:before="0" w:after="0"/>
        <w:ind w:left="720" w:firstLine="720"/>
        <w:jc w:val="both"/>
      </w:pPr>
      <w:r>
        <w:t xml:space="preserve">(5) A claim under this subsection does not stay the review, release, or licensing of any item.</w:t>
      </w:r>
    </w:p>
    <w:p>
      <w:pPr>
        <w:pStyle w:val="BodyText"/>
        <w:spacing w:lineRule="exact" w:line="480" w:before="0" w:after="0"/>
        <w:ind w:left="0" w:firstLine="720"/>
        <w:jc w:val="both"/>
      </w:pPr>
      <w:r>
        <w:t xml:space="preserve">(h)</w:t>
      </w:r>
      <w:r>
        <w:t xml:space="preserve"> </w:t>
      </w:r>
      <w:r>
        <w:rPr>
          <w:bCs/>
          <w:rFonts w:ascii="Century Schoolbook" w:hAnsi="Century Schoolbook" w:cs="Century Schoolbook" w:eastAsia="Century Schoolbook"/>
          <w:b w:val="0"/>
          <w:smallCaps/>
          <w:sz w:val="24"/>
        </w:rPr>
        <w:t>REPORTS.—</w:t>
      </w:r>
      <w:r/>
      <w:r>
        <w:t xml:space="preserve">The Board shall report annually to Congress and the public on its determinations, with a</w:t>
      </w:r>
      <w:r>
        <w:t xml:space="preserve"> </w:t>
      </w:r>
      <w:r>
        <w:t xml:space="preserve">classified annex.</w:t>
      </w:r>
    </w:p>
    <w:p>
      <w:pPr>
        <w:pStyle w:val="BodyText"/>
        <w:spacing w:lineRule="exact" w:line="480" w:before="0" w:after="0"/>
        <w:ind w:left="0" w:firstLine="720"/>
        <w:jc w:val="both"/>
      </w:pPr>
      <w:r>
        <w:t xml:space="preserve">(i)</w:t>
      </w:r>
      <w:r>
        <w:t xml:space="preserve"> </w:t>
      </w:r>
      <w:r>
        <w:rPr>
          <w:bCs/>
          <w:rFonts w:ascii="Century Schoolbook" w:hAnsi="Century Schoolbook" w:cs="Century Schoolbook" w:eastAsia="Century Schoolbook"/>
          <w:b w:val="0"/>
          <w:smallCaps/>
          <w:sz w:val="24"/>
        </w:rPr>
        <w:t>DEFINITIONS.—</w:t>
      </w:r>
      <w:r/>
      <w:r>
        <w:t xml:space="preserve">In this section:</w:t>
      </w:r>
    </w:p>
    <w:p>
      <w:pPr>
        <w:pStyle w:val="BodyText"/>
        <w:spacing w:lineRule="exact" w:line="480" w:before="0" w:after="0"/>
        <w:ind w:left="720" w:firstLine="720"/>
        <w:jc w:val="both"/>
      </w:pPr>
      <w:r>
        <w:t xml:space="preserve">(1) The term</w:t>
      </w:r>
      <w:r>
        <w:t xml:space="preserve"> </w:t>
      </w:r>
      <w:r>
        <w:t xml:space="preserve">“</w:t>
      </w:r>
      <w:r>
        <w:t xml:space="preserve">unidentified anomalous phenomena</w:t>
      </w:r>
      <w:r>
        <w:t xml:space="preserve">”</w:t>
      </w:r>
      <w:r>
        <w:t xml:space="preserve"> </w:t>
      </w:r>
      <w:r>
        <w:t xml:space="preserve">has the meaning given that term in section 3373(n) of title 50,</w:t>
      </w:r>
      <w:r>
        <w:t xml:space="preserve"> </w:t>
      </w:r>
      <w:r>
        <w:t xml:space="preserve">United States Code.</w:t>
      </w:r>
    </w:p>
    <w:p>
      <w:pPr>
        <w:pStyle w:val="BodyText"/>
        <w:spacing w:lineRule="exact" w:line="480" w:before="0" w:after="0"/>
        <w:ind w:left="720" w:firstLine="720"/>
        <w:jc w:val="both"/>
      </w:pPr>
      <w:r>
        <w:t xml:space="preserve">(2) The term</w:t>
      </w:r>
      <w:r>
        <w:t xml:space="preserve"> </w:t>
      </w:r>
      <w:r>
        <w:t xml:space="preserve">“</w:t>
      </w:r>
      <w:r>
        <w:t xml:space="preserve">technologies of unknown origin</w:t>
      </w:r>
      <w:r>
        <w:t xml:space="preserve">”</w:t>
      </w:r>
      <w:r>
        <w:t xml:space="preserve"> </w:t>
      </w:r>
      <w:r>
        <w:t xml:space="preserve">means any materials or meta-materials, ejecta, crash debris,</w:t>
      </w:r>
      <w:r>
        <w:t xml:space="preserve"> </w:t>
      </w:r>
      <w:r>
        <w:t xml:space="preserve">mechanisms, machinery, equipment, assemblies or sub-assemblies, engineering models or processes, damaged or intact</w:t>
      </w:r>
      <w:r>
        <w:t xml:space="preserve"> </w:t>
      </w:r>
      <w:r>
        <w:t xml:space="preserve">aerospace vehicles, and damaged or intact ocean-surface and undersea craft associated with unidentified anomalous</w:t>
      </w:r>
      <w:r>
        <w:t xml:space="preserve"> </w:t>
      </w:r>
      <w:r>
        <w:t xml:space="preserve">phenomena or incorporating science and technology that lacks prosaic attribution or known means of human</w:t>
      </w:r>
      <w:r>
        <w:t xml:space="preserve"> </w:t>
      </w:r>
      <w:r>
        <w:t xml:space="preserve">manufacture.</w:t>
      </w:r>
    </w:p>
    <w:p>
      <w:pPr>
        <w:pStyle w:val="BodyText"/>
        <w:spacing w:lineRule="exact" w:line="480" w:before="0" w:after="0"/>
        <w:ind w:left="720" w:firstLine="720"/>
        <w:jc w:val="both"/>
      </w:pPr>
      <w:r>
        <w:t xml:space="preserve">(3) The term</w:t>
      </w:r>
      <w:r>
        <w:t xml:space="preserve"> </w:t>
      </w:r>
      <w:r>
        <w:t xml:space="preserve">“</w:t>
      </w:r>
      <w:r>
        <w:t xml:space="preserve">contractor</w:t>
      </w:r>
      <w:r>
        <w:t xml:space="preserve">”</w:t>
      </w:r>
      <w:r>
        <w:t xml:space="preserve"> </w:t>
      </w:r>
      <w:r>
        <w:t xml:space="preserve">includes a subcontractor at any tier and any person performing work under an other</w:t>
      </w:r>
      <w:r>
        <w:t xml:space="preserve"> </w:t>
      </w:r>
      <w:r>
        <w:t xml:space="preserve">transaction agreement.</w:t>
      </w:r>
    </w:p>
    <w:bookmarkEnd w:id="21"/>
    <w:sectPr>
      <w:headerReference w:type="default" r:id="rId11"/>
      <w:footerReference w:type="default" r:id="rId12"/>
      <w:headerReference w:type="first" r:id="rId13"/>
      <w:footerReference w:type="first" r:id="rId14"/>
      <w:pgSz w:h="15840" w:w="12240"/>
      <w:pgMar w:bottom="1440" w:left="2160" w:right="1440" w:top="1440" w:header="720" w:footer="720"/>
      <w:lnNumType w:countBy="1" w:restart="newPage" w:distance="503"/>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r>
      <w:rPr>
        <w:rFonts w:ascii="Century Schoolbook" w:hAnsi="Century Schoolbook" w:cs="Century Schoolbook" w:eastAsia="Century Schoolbook"/>
        <w:i/>
        <w:sz w:val="16"/>
      </w:rPr>
      <w:t>[H.R. ____]  Discussion draft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jc w:val="center"/>
    </w:pPr>
    <w:r>
      <w:rPr>
        <w:rFonts w:ascii="Century Schoolbook" w:hAnsi="Century Schoolbook" w:cs="Century Schoolbook" w:eastAsia="Century Schoolbook"/>
        <w:sz w:val="22"/>
      </w:rPr>
      <w:fldChar w:fldCharType="begin"/>
    </w:r>
    <w:r>
      <w:rPr>
        <w:rFonts w:ascii="Century Schoolbook" w:hAnsi="Century Schoolbook" w:cs="Century Schoolbook" w:eastAsia="Century Schoolbook"/>
        <w:sz w:val="22"/>
      </w:rPr>
      <w:instrText xml:space="preserve"> PAGE </w:instrText>
    </w:r>
    <w:r>
      <w:rPr>
        <w:rFonts w:ascii="Century Schoolbook" w:hAnsi="Century Schoolbook" w:cs="Century Schoolbook" w:eastAsia="Century Schoolbook"/>
        <w:sz w:val="22"/>
      </w:rPr>
      <w:fldChar w:fldCharType="separate"/>
    </w:r>
    <w:r>
      <w:rPr>
        <w:rFonts w:ascii="Century Schoolbook" w:hAnsi="Century Schoolbook" w:cs="Century Schoolbook" w:eastAsia="Century Schoolbook"/>
        <w:sz w:val="22"/>
      </w:rPr>
      <w:t>1</w:t>
    </w:r>
    <w:r>
      <w:rPr>
        <w:rFonts w:ascii="Century Schoolbook" w:hAnsi="Century Schoolbook" w:cs="Century Schoolbook" w:eastAsia="Century Schoolbook"/>
        <w:sz w:val="22"/>
      </w:rPr>
      <w:fldChar w:fldCharType="end"/>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Century Schoolbook" w:cs="Century Schoolbook" w:eastAsia="Century Schoolbook" w:hAnsi="Century Schoolbook"/>
      <w:color w:val="000000"/>
      <w:sz w:val="24"/>
    </w:rPr>
  </w:style>
  <w:style w:styleId="BodyText" w:type="paragraph">
    <w:name w:val="Body Text"/>
    <w:basedOn w:val="Normal"/>
    <w:link w:val="BodyTextChar"/>
    <w:pPr>
      <w:spacing w:after="0" w:before="0" w:line="240" w:lineRule="auto"/>
    </w:pPr>
    <w:qFormat/>
    <w:rPr>
      <w:rFonts w:ascii="Century Schoolbook" w:cs="Century Schoolbook" w:eastAsia="Century Schoolbook" w:hAnsi="Century Schoolbook"/>
      <w:color w:val="000000"/>
      <w:sz w:val="24"/>
    </w:rPr>
  </w:style>
  <w:style w:customStyle="1" w:styleId="FirstParagraph" w:type="paragraph">
    <w:name w:val="First Paragraph"/>
    <w:basedOn w:val="BodyText"/>
    <w:next w:val="BodyText"/>
    <w:qFormat/>
    <w:pPr>
      <w:spacing w:after="0" w:before="0" w:line="240" w:lineRule="auto"/>
    </w:pPr>
    <w:rPr>
      <w:rFonts w:ascii="Century Schoolbook" w:cs="Century Schoolbook" w:eastAsia="Century Schoolbook" w:hAnsi="Century Schoolbook"/>
      <w:color w:val="000000"/>
      <w:sz w:val="24"/>
    </w:rPr>
  </w:style>
  <w:style w:customStyle="1" w:styleId="Compact" w:type="paragraph">
    <w:name w:val="Compact"/>
    <w:basedOn w:val="BodyText"/>
    <w:qFormat/>
    <w:pPr>
      <w:spacing w:after="0" w:before="0" w:line="240" w:lineRule="auto"/>
    </w:pPr>
    <w:rPr>
      <w:rFonts w:ascii="Century Schoolbook" w:cs="Century Schoolbook" w:eastAsia="Century Schoolbook" w:hAnsi="Century Schoolbook"/>
      <w:color w:val="000000"/>
      <w:sz w:val="24"/>
    </w:rPr>
  </w:style>
  <w:style w:styleId="Title" w:type="paragraph">
    <w:name w:val="Title"/>
    <w:basedOn w:val="Normal"/>
    <w:next w:val="BodyText"/>
    <w:qFormat/>
    <w:pPr>
      <w:keepNext/>
      <w:keepLines/>
      <w:spacing w:after="160" w:before="480"/>
      <w:jc w:val="left"/>
    </w:pPr>
    <w:rPr>
      <w:rFonts w:ascii="Century Schoolbook" w:cs="Century Schoolbook" w:eastAsia="Century Schoolbook" w:hAnsi="Century Schoolbook"/>
      <w:b/>
      <w:bCs/>
      <w:color w:val="1A2B3C"/>
      <w:sz w:val="40"/>
      <w:szCs w:val="36"/>
    </w:rPr>
  </w:style>
  <w:style w:styleId="Subtitle" w:type="paragraph">
    <w:name w:val="Subtitle"/>
    <w:basedOn w:val="Title"/>
    <w:next w:val="BodyText"/>
    <w:qFormat/>
    <w:pPr>
      <w:keepNext/>
      <w:keepLines/>
      <w:spacing w:after="160" w:before="240"/>
      <w:jc w:val="left"/>
    </w:pPr>
    <w:rPr>
      <w:rFonts w:ascii="Century Schoolbook" w:cs="Century Schoolbook" w:eastAsia="Century Schoolbook" w:hAnsi="Century Schoolbook"/>
      <w:color w:val="1A2B3C"/>
      <w:sz w:val="22"/>
      <w:szCs w:val="30"/>
    </w:rPr>
  </w:style>
  <w:style w:customStyle="1" w:styleId="Author" w:type="paragraph">
    <w:name w:val="Author"/>
    <w:next w:val="BodyText"/>
    <w:qFormat/>
    <w:pPr>
      <w:keepNext/>
      <w:keepLines/>
      <w:jc w:val="center"/>
    </w:pPr>
    <w:rPr>
      <w:rFonts w:ascii="Century Schoolbook" w:cs="Century Schoolbook" w:eastAsia="Century Schoolbook" w:hAnsi="Century Schoolbook"/>
      <w:color w:val="000000"/>
    </w:rPr>
  </w:style>
  <w:style w:styleId="Date" w:type="paragraph">
    <w:name w:val="Date"/>
    <w:next w:val="BodyText"/>
    <w:qFormat/>
    <w:pPr>
      <w:keepNext/>
      <w:keepLines/>
      <w:jc w:val="center"/>
    </w:pPr>
    <w:rPr>
      <w:rFonts w:ascii="Century Schoolbook" w:cs="Century Schoolbook" w:eastAsia="Century Schoolbook" w:hAnsi="Century Schoolbook"/>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entury Schoolbook" w:cs="Century Schoolbook" w:eastAsia="Century Schoolbook" w:hAnsi="Century Schoolbook"/>
      <w:b/>
    </w:rPr>
  </w:style>
  <w:style w:customStyle="1" w:styleId="Abstract" w:type="paragraph">
    <w:name w:val="Abstract"/>
    <w:basedOn w:val="Normal"/>
    <w:next w:val="BodyText"/>
    <w:qFormat/>
    <w:pPr>
      <w:keepNext/>
      <w:keepLines/>
      <w:spacing w:after="300" w:before="100"/>
    </w:pPr>
    <w:rPr>
      <w:rFonts w:ascii="Century Schoolbook" w:cs="Century Schoolbook" w:eastAsia="Century Schoolbook" w:hAnsi="Century Schoolbook"/>
      <w:color w:val="000000"/>
      <w:sz w:val="20"/>
      <w:szCs w:val="20"/>
    </w:rPr>
  </w:style>
  <w:style w:styleId="Bibliography" w:type="paragraph">
    <w:name w:val="Bibliography"/>
    <w:basedOn w:val="Normal"/>
    <w:next w:val="Bibliography"/>
    <w:qFormat/>
    <w:pPr/>
    <w:rPr>
      <w:rFonts w:ascii="Century Schoolbook" w:cs="Century Schoolbook" w:eastAsia="Century Schoolbook" w:hAnsi="Century Schoolbook"/>
      <w:color w:val="000000"/>
    </w:rPr>
  </w:style>
  <w:style w:styleId="Heading1" w:type="paragraph">
    <w:name w:val="Heading 1"/>
    <w:basedOn w:val="Normal"/>
    <w:next w:val="BodyText"/>
    <w:uiPriority w:val="9"/>
    <w:qFormat/>
    <w:pPr>
      <w:keepNext/>
      <w:keepLines/>
      <w:spacing w:after="120" w:before="280"/>
      <w:outlineLvl w:val="0"/>
    </w:pPr>
    <w:rPr>
      <w:rFonts w:ascii="Century Schoolbook" w:cs="Century Schoolbook" w:eastAsia="Century Schoolbook" w:hAnsi="Century Schoolbook"/>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Century Schoolbook" w:cs="Century Schoolbook" w:eastAsia="Century Schoolbook" w:hAnsi="Century Schoolbook"/>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Century Schoolbook" w:cs="Century Schoolbook" w:eastAsia="Century Schoolbook" w:hAnsi="Century Schoolbook"/>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Century Schoolbook" w:cs="Century Schoolbook" w:eastAsia="Century Schoolbook" w:hAnsi="Century Schoolbook"/>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Century Schoolbook" w:cs="Century Schoolbook" w:eastAsia="Century Schoolbook" w:hAnsi="Century Schoolbook"/>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entury Schoolbook" w:cs="Century Schoolbook" w:eastAsia="Century Schoolbook" w:hAnsi="Century Schoolbook"/>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entury Schoolbook" w:cs="Century Schoolbook" w:eastAsia="Century Schoolbook" w:hAnsi="Century Schoolbook"/>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entury Schoolbook" w:cs="Century Schoolbook" w:eastAsia="Century Schoolbook" w:hAnsi="Century Schoolbook"/>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entury Schoolbook" w:cs="Century Schoolbook" w:eastAsia="Century Schoolbook" w:hAnsi="Century Schoolbook"/>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Century Schoolbook" w:cs="Century Schoolbook" w:eastAsia="Century Schoolbook" w:hAnsi="Century Schoolbook"/>
      <w:color w:val="000000"/>
      <w:sz w:val="24"/>
    </w:rPr>
  </w:style>
  <w:style w:styleId="FootnoteText" w:type="paragraph">
    <w:name w:val="Footnote Text"/>
    <w:basedOn w:val="Normal"/>
    <w:next w:val="FootnoteText"/>
    <w:uiPriority w:val="9"/>
    <w:unhideWhenUsed/>
    <w:qFormat/>
    <w:rPr>
      <w:rFonts w:ascii="Century Schoolbook" w:cs="Century Schoolbook" w:eastAsia="Century Schoolbook" w:hAnsi="Century Schoolbook"/>
      <w:color w:val="000000"/>
    </w:rPr>
  </w:style>
  <w:style w:default="1" w:styleId="DefaultParagraphFont" w:type="character">
    <w:name w:val="Default Paragraph Font"/>
    <w:semiHidden/>
    <w:unhideWhenUsed/>
    <w:rPr>
      <w:rFonts w:ascii="Century Schoolbook" w:cs="Century Schoolbook" w:eastAsia="Century Schoolbook" w:hAnsi="Century Schoolbook"/>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entury Schoolbook" w:cs="Century Schoolbook" w:eastAsia="Century Schoolbook" w:hAnsi="Century Schoolbook"/>
      <w:b/>
      <w:color w:val="000000"/>
    </w:rPr>
  </w:style>
  <w:style w:customStyle="1" w:styleId="Definition" w:type="paragraph">
    <w:name w:val="Definition"/>
    <w:basedOn w:val="Normal"/>
    <w:rPr>
      <w:rFonts w:ascii="Century Schoolbook" w:cs="Century Schoolbook" w:eastAsia="Century Schoolbook" w:hAnsi="Century Schoolbook"/>
      <w:color w:val="000000"/>
    </w:rPr>
  </w:style>
  <w:style w:styleId="Caption" w:type="paragraph">
    <w:name w:val="Caption"/>
    <w:basedOn w:val="Normal"/>
    <w:link w:val="BodyTextChar"/>
    <w:pPr>
      <w:spacing w:after="120" w:before="0"/>
    </w:pPr>
    <w:rPr>
      <w:rFonts w:ascii="Century Schoolbook" w:cs="Century Schoolbook" w:eastAsia="Century Schoolbook" w:hAnsi="Century Schoolbook"/>
      <w:i/>
      <w:color w:val="000000"/>
    </w:rPr>
  </w:style>
  <w:style w:customStyle="1" w:styleId="TableCaption" w:type="paragraph">
    <w:name w:val="Table Caption"/>
    <w:basedOn w:val="Caption"/>
    <w:pPr>
      <w:keepNext/>
    </w:pPr>
    <w:rPr>
      <w:rFonts w:ascii="Century Schoolbook" w:cs="Century Schoolbook" w:eastAsia="Century Schoolbook" w:hAnsi="Century Schoolbook"/>
      <w:color w:val="000000"/>
    </w:rPr>
  </w:style>
  <w:style w:customStyle="1" w:styleId="ImageCaption" w:type="paragraph">
    <w:name w:val="Image Caption"/>
    <w:basedOn w:val="Caption"/>
    <w:rPr>
      <w:rFonts w:ascii="Century Schoolbook" w:cs="Century Schoolbook" w:eastAsia="Century Schoolbook" w:hAnsi="Century Schoolbook"/>
      <w:color w:val="000000"/>
    </w:rPr>
  </w:style>
  <w:style w:customStyle="1" w:styleId="Figure" w:type="paragraph">
    <w:name w:val="Figure"/>
    <w:basedOn w:val="Normal"/>
    <w:rPr>
      <w:rFonts w:ascii="Century Schoolbook" w:cs="Century Schoolbook" w:eastAsia="Century Schoolbook" w:hAnsi="Century Schoolbook"/>
      <w:color w:val="000000"/>
    </w:rPr>
  </w:style>
  <w:style w:customStyle="1" w:styleId="CaptionedFigure" w:type="paragraph">
    <w:name w:val="Captioned Figure"/>
    <w:basedOn w:val="Figure"/>
    <w:pPr>
      <w:keepNext/>
    </w:pPr>
    <w:rPr>
      <w:rFonts w:ascii="Century Schoolbook" w:cs="Century Schoolbook" w:eastAsia="Century Schoolbook" w:hAnsi="Century Schoolbook"/>
      <w:color w:val="000000"/>
    </w:rPr>
  </w:style>
  <w:style w:customStyle="1" w:styleId="BodyTextChar" w:type="character">
    <w:name w:val="Body Text Char"/>
    <w:basedOn w:val="DefaultParagraphFont"/>
    <w:link w:val="BodyText"/>
    <w:rPr>
      <w:rFonts w:ascii="Century Schoolbook" w:cs="Century Schoolbook" w:eastAsia="Century Schoolbook" w:hAnsi="Century Schoolbook"/>
      <w:color w:val="000000"/>
    </w:rPr>
  </w:style>
  <w:style w:customStyle="1" w:styleId="VerbatimChar" w:type="character">
    <w:name w:val="Verbatim Char"/>
    <w:basedOn w:val="BodyTextChar"/>
    <w:rPr>
      <w:rFonts w:ascii="Century Schoolbook" w:cs="Century Schoolbook" w:eastAsia="Century Schoolbook" w:hAnsi="Century Schoolbook"/>
      <w:color w:val="000000"/>
      <w:sz w:val="22"/>
    </w:rPr>
  </w:style>
  <w:style w:customStyle="1" w:styleId="SectionNumber" w:type="character">
    <w:name w:val="Section Number"/>
    <w:basedOn w:val="BodyTextChar"/>
    <w:rPr>
      <w:rFonts w:ascii="Century Schoolbook" w:cs="Century Schoolbook" w:eastAsia="Century Schoolbook" w:hAnsi="Century Schoolbook"/>
      <w:color w:val="000000"/>
    </w:rPr>
  </w:style>
  <w:style w:styleId="FootnoteReference" w:type="character">
    <w:name w:val="Footnote Reference"/>
    <w:basedOn w:val="BodyTextChar"/>
    <w:rPr>
      <w:rFonts w:ascii="Century Schoolbook" w:cs="Century Schoolbook" w:eastAsia="Century Schoolbook" w:hAnsi="Century Schoolbook"/>
      <w:color w:val="000000"/>
      <w:vertAlign w:val="superscript"/>
    </w:rPr>
  </w:style>
  <w:style w:styleId="Hyperlink" w:type="character">
    <w:name w:val="Hyperlink"/>
    <w:basedOn w:val="BodyTextChar"/>
    <w:rPr>
      <w:rFonts w:ascii="Century Schoolbook" w:cs="Century Schoolbook" w:eastAsia="Century Schoolbook" w:hAnsi="Century Schoolbook"/>
      <w:color w:val="1F6E6E"/>
    </w:rPr>
  </w:style>
  <w:style w:styleId="TOCHeading" w:type="paragraph">
    <w:name w:val="TOC Heading"/>
    <w:basedOn w:val="Heading1"/>
    <w:next w:val="BodyText"/>
    <w:uiPriority w:val="39"/>
    <w:unhideWhenUsed/>
    <w:qFormat/>
    <w:pPr>
      <w:spacing w:before="240" w:line="259" w:lineRule="auto"/>
      <w:outlineLvl w:val="9"/>
    </w:pPr>
    <w:rPr>
      <w:rFonts w:ascii="Century Schoolbook" w:cs="Century Schoolbook" w:eastAsia="Century Schoolbook" w:hAnsi="Century Schoolbook"/>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e6-3.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e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D6-1. Model Statutory Provision: Civilian Benefit Review and Release of UAP-Derived Technology</dc:title>
  <dc:creator>nhilaw.com</dc:creator>
  <cp:keywords/>
  <dcterms:created xsi:type="dcterms:W3CDTF">2026-10-19T03:13:49Z</dcterms:created>
  <dcterms:modified xsi:type="dcterms:W3CDTF">2026-10-19T03:13:49Z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