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Must the Government Release Life-Saving Technology? Withheld Energy and Medical Advances</w:t>
      </w:r>
    </w:p>
    <w:p>
      <w:pPr>
        <w:pStyle w:val="Subtitle"/>
      </w:pPr>
      <w:r>
        <w:t xml:space="preserve">Version 1.10 · October 2026 · nhilaw.com/issues/d6.html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pPr>
        <w:pStyle w:val="BodyText"/>
      </w:pPr>
      <w:r>
        <w:rPr>
          <w:bCs/>
          <w:b/>
        </w:rPr>
        <w:t xml:space="preserve">Premise.</w:t>
      </w:r>
      <w:r>
        <w:t xml:space="preserve"> </w:t>
      </w:r>
      <w:r>
        <w:t xml:space="preserve">Some insider accounts claim that study of recovered material has produced, or could produce,</w:t>
      </w:r>
      <w:r>
        <w:t xml:space="preserve"> </w:t>
      </w:r>
      <w:r>
        <w:t xml:space="preserve">advances in energy generation, materials, or medicine, and that classification keeps them from public use.</w:t>
      </w:r>
      <w:r>
        <w:t xml:space="preserve"> </w:t>
      </w:r>
      <w:r>
        <w:t xml:space="preserve">If true, does any law require the government to release technology that could save many lives?</w:t>
      </w:r>
    </w:p>
    <w:p>
      <w:r>
        <w:pict>
          <v:rect style="width:0;height:1.5pt" o:hralign="center" o:hrstd="t" o:hr="t"/>
        </w:pict>
      </w:r>
    </w:p>
    <w:bookmarkStart w:id="22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No court can order the government to release classified technology because it would save lives: there is no general duty to protect (</w:t>
      </w:r>
      <w:r>
        <w:rPr>
          <w:iCs/>
          <w:i/>
        </w:rPr>
        <w:t xml:space="preserve">DeShaney</w:t>
      </w:r>
      <w:r>
        <w:t xml:space="preserve">) and no fundamental right of access to unapproved treatment (</w:t>
      </w:r>
      <w:r>
        <w:rPr>
          <w:iCs/>
          <w:i/>
        </w:rPr>
        <w:t xml:space="preserve">Abigail Alliance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Partial levers exist: records statutes, Invention Secrecy Act compensation, Bayh-Dole march-in (never exercised), §1498 government use, and Atomic Energy Act compulsory licensing for atomic energy inventions (42 U.S.C. §2183).</w:t>
      </w:r>
    </w:p>
    <w:p>
      <w:pPr>
        <w:pStyle w:val="Compact"/>
        <w:numPr>
          <w:ilvl w:val="0"/>
          <w:numId w:val="1001"/>
        </w:numPr>
      </w:pPr>
      <w:r>
        <w:t xml:space="preserve">International instruments (ICESCR Art. 15(1)(b); ICCPR Art. 6 as read in General Comment 36) supply arguments for advocacy, not enforceable claims against the United States.</w:t>
      </w:r>
    </w:p>
    <w:p>
      <w:pPr>
        <w:pStyle w:val="Compact"/>
        <w:numPr>
          <w:ilvl w:val="0"/>
          <w:numId w:val="1001"/>
        </w:numPr>
      </w:pPr>
      <w:r>
        <w:t xml:space="preserve">The realistic route is a statute with an inventory, a civilian benefit review, a presumption of release, and licensing terms (</w:t>
      </w:r>
      <w:hyperlink r:id="rId21">
        <w:r>
          <w:rPr>
            <w:rStyle w:val="Hyperlink"/>
          </w:rPr>
          <w:t xml:space="preserve">Form D6-1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22"/>
    <w:bookmarkStart w:id="24" w:name="summary"/>
    <w:p>
      <w:pPr>
        <w:pStyle w:val="Heading2"/>
      </w:pPr>
      <w:r>
        <w:t xml:space="preserve">1. Summary</w:t>
      </w:r>
    </w:p>
    <w:p>
      <w:pPr>
        <w:pStyle w:val="FirstParagraph"/>
      </w:pPr>
      <w:r>
        <w:t xml:space="preserve">Under current U.S. law, no court can order the government to release classified technology because it would</w:t>
      </w:r>
      <w:r>
        <w:t xml:space="preserve"> </w:t>
      </w:r>
      <w:r>
        <w:t xml:space="preserve">save lives. The Due Process Clause imposes no general duty to protect or rescue (</w:t>
      </w:r>
      <w:r>
        <w:rPr>
          <w:iCs/>
          <w:i/>
        </w:rPr>
        <w:t xml:space="preserve">DeShaney v. Winnebago</w:t>
      </w:r>
      <w:r>
        <w:rPr>
          <w:iCs/>
          <w:i/>
        </w:rPr>
        <w:t xml:space="preserve"> </w:t>
      </w:r>
      <w:r>
        <w:rPr>
          <w:iCs/>
          <w:i/>
        </w:rPr>
        <w:t xml:space="preserve">County Department of Social Services</w:t>
      </w:r>
      <w:r>
        <w:t xml:space="preserve">, 489 U.S. 189 (1989)), and there is no fundamental right of access to</w:t>
      </w:r>
      <w:r>
        <w:t xml:space="preserve"> </w:t>
      </w:r>
      <w:r>
        <w:t xml:space="preserve">unapproved life-saving treatments (</w:t>
      </w:r>
      <w:r>
        <w:rPr>
          <w:iCs/>
          <w:i/>
        </w:rPr>
        <w:t xml:space="preserve">Abigail Alliance for Better Access to Developmental Drugs v. von</w:t>
      </w:r>
      <w:r>
        <w:rPr>
          <w:iCs/>
          <w:i/>
        </w:rPr>
        <w:t xml:space="preserve"> </w:t>
      </w:r>
      <w:r>
        <w:rPr>
          <w:iCs/>
          <w:i/>
        </w:rPr>
        <w:t xml:space="preserve">Eschenbach</w:t>
      </w:r>
      <w:r>
        <w:t xml:space="preserve">, 495 F.3d 695 (D.C. Cir. 2007) (en banc)). In</w:t>
      </w:r>
      <w:r>
        <w:t xml:space="preserve"> </w:t>
      </w:r>
      <w:r>
        <w:rPr>
          <w:iCs/>
          <w:i/>
        </w:rPr>
        <w:t xml:space="preserve">Abigail Alliance</w:t>
      </w:r>
      <w:r>
        <w:t xml:space="preserve">, the court also rejected</w:t>
      </w:r>
      <w:r>
        <w:t xml:space="preserve"> </w:t>
      </w:r>
      <w:r>
        <w:t xml:space="preserve">arguments based on the common-law doctrines of necessity and self-defense and on the tort of intentionally</w:t>
      </w:r>
      <w:r>
        <w:t xml:space="preserve"> </w:t>
      </w:r>
      <w:r>
        <w:t xml:space="preserve">preventing a person from giving necessary aid to another.</w:t>
      </w:r>
    </w:p>
    <w:p>
      <w:pPr>
        <w:pStyle w:val="BodyText"/>
      </w:pPr>
      <w:r>
        <w:t xml:space="preserve">What exists are partial levers: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Records and declassification</w:t>
      </w:r>
      <w:r>
        <w:t xml:space="preserve"> </w:t>
      </w:r>
      <w:r>
        <w:t xml:space="preserve">(Issues A3, B1): the Records Collection, FOIA, and MDR can release</w:t>
      </w:r>
      <w:r>
        <w:t xml:space="preserve"> </w:t>
      </w:r>
      <w:r>
        <w:t xml:space="preserve">information about technology, though technical data will be protected by Exemptions 1 and 3 (10 U.S.C.</w:t>
      </w:r>
      <w:r>
        <w:t xml:space="preserve"> </w:t>
      </w:r>
      <w:r>
        <w:t xml:space="preserve">§130) and Restricted Data rules.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Patents and secrecy orders</w:t>
      </w:r>
      <w:r>
        <w:t xml:space="preserve"> </w:t>
      </w:r>
      <w:r>
        <w:t xml:space="preserve">(</w:t>
      </w:r>
      <w:hyperlink r:id="rId23">
        <w:r>
          <w:rPr>
            <w:rStyle w:val="Hyperlink"/>
          </w:rPr>
          <w:t xml:space="preserve">Issue E2</w:t>
        </w:r>
      </w:hyperlink>
      <w:r>
        <w:t xml:space="preserve">): private inventors subject to Invention Secrecy Act orders can</w:t>
      </w:r>
      <w:r>
        <w:t xml:space="preserve"> </w:t>
      </w:r>
      <w:r>
        <w:t xml:space="preserve">seek compensation (35 U.S.C. §183) and periodic review of orders; secrecy orders lapse after one year</w:t>
      </w:r>
      <w:r>
        <w:t xml:space="preserve"> </w:t>
      </w:r>
      <w:r>
        <w:t xml:space="preserve">unless renewed (§181).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Federal funding and march-in</w:t>
      </w:r>
      <w:r>
        <w:t xml:space="preserve">: for inventions made with federal funding by contractors, the Bayh-Dole</w:t>
      </w:r>
      <w:r>
        <w:t xml:space="preserve"> </w:t>
      </w:r>
      <w:r>
        <w:t xml:space="preserve">Act gives agencies</w:t>
      </w:r>
      <w:r>
        <w:t xml:space="preserve"> </w:t>
      </w:r>
      <w:r>
        <w:t xml:space="preserve">“</w:t>
      </w:r>
      <w:r>
        <w:t xml:space="preserve">march-in</w:t>
      </w:r>
      <w:r>
        <w:t xml:space="preserve">”</w:t>
      </w:r>
      <w:r>
        <w:t xml:space="preserve"> </w:t>
      </w:r>
      <w:r>
        <w:t xml:space="preserve">rights to require licensing when necessary</w:t>
      </w:r>
      <w:r>
        <w:t xml:space="preserve"> </w:t>
      </w:r>
      <w:r>
        <w:t xml:space="preserve">“</w:t>
      </w:r>
      <w:r>
        <w:t xml:space="preserve">to alleviate health or safety</w:t>
      </w:r>
      <w:r>
        <w:t xml:space="preserve"> </w:t>
      </w:r>
      <w:r>
        <w:t xml:space="preserve">needs which are not reasonably satisfied</w:t>
      </w:r>
      <w:r>
        <w:t xml:space="preserve">”</w:t>
      </w:r>
      <w:r>
        <w:t xml:space="preserve"> </w:t>
      </w:r>
      <w:r>
        <w:t xml:space="preserve">(35 U.S.C. §203(a)(2)). Agencies have never exercised march-in.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Government use</w:t>
      </w:r>
      <w:r>
        <w:t xml:space="preserve">: 28 U.S.C. §1498 lets the government use any patented invention with compensation, so</w:t>
      </w:r>
      <w:r>
        <w:t xml:space="preserve"> </w:t>
      </w:r>
      <w:r>
        <w:t xml:space="preserve">patents do not block government deployment.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Political and treaty arguments</w:t>
      </w:r>
      <w:r>
        <w:t xml:space="preserve">: the right to enjoy the benefits of scientific progress (ICESCR Art.</w:t>
      </w:r>
      <w:r>
        <w:t xml:space="preserve"> </w:t>
      </w:r>
      <w:r>
        <w:t xml:space="preserve">15(1)(b); CESCR General Comment No. 25 (2020)) supports advocacy but is not enforceable against the United</w:t>
      </w:r>
      <w:r>
        <w:t xml:space="preserve"> </w:t>
      </w:r>
      <w:r>
        <w:t xml:space="preserve">States, which has not ratified the ICESCR.</w:t>
      </w:r>
    </w:p>
    <w:p>
      <w:pPr>
        <w:pStyle w:val="FirstParagraph"/>
      </w:pPr>
      <w:r>
        <w:t xml:space="preserve">The realistic route is legislation: a statute requiring review of UAP-derived technology for civilian</w:t>
      </w:r>
      <w:r>
        <w:t xml:space="preserve"> </w:t>
      </w:r>
      <w:r>
        <w:t xml:space="preserve">benefit, with a presumption of release for energy and medical applications after security review, and</w:t>
      </w:r>
      <w:r>
        <w:t xml:space="preserve"> </w:t>
      </w:r>
      <w:r>
        <w:t xml:space="preserve">technology transfer mechanisms (</w:t>
      </w:r>
      <w:hyperlink r:id="rId21">
        <w:r>
          <w:rPr>
            <w:rStyle w:val="Hyperlink"/>
          </w:rPr>
          <w:t xml:space="preserve">Form D6-1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24"/>
    <w:bookmarkStart w:id="25" w:name="constitutional-claims"/>
    <w:p>
      <w:pPr>
        <w:pStyle w:val="Heading2"/>
      </w:pPr>
      <w:r>
        <w:t xml:space="preserve">2. Constitutional claims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No duty to protect.</w:t>
      </w:r>
      <w:r>
        <w:t xml:space="preserve"> </w:t>
      </w:r>
      <w:r>
        <w:rPr>
          <w:iCs/>
          <w:i/>
        </w:rPr>
        <w:t xml:space="preserve">DeShaney</w:t>
      </w:r>
      <w:r>
        <w:t xml:space="preserve">: the State’s failure to protect an individual against private violence</w:t>
      </w:r>
      <w:r>
        <w:t xml:space="preserve"> </w:t>
      </w:r>
      <w:r>
        <w:t xml:space="preserve">does not violate due process. The state-created danger exception, recognized in most circuits, requires</w:t>
      </w:r>
      <w:r>
        <w:t xml:space="preserve"> </w:t>
      </w:r>
      <w:r>
        <w:t xml:space="preserve">affirmative government action that creates or increases a specific danger to the plaintiff. Withholding a</w:t>
      </w:r>
      <w:r>
        <w:t xml:space="preserve"> </w:t>
      </w:r>
      <w:r>
        <w:t xml:space="preserve">cure does not create the disease. Even affirmative false reassurance has been held insufficient where officials</w:t>
      </w:r>
      <w:r>
        <w:t xml:space="preserve"> </w:t>
      </w:r>
      <w:r>
        <w:t xml:space="preserve">were balancing competing duties: the Second Circuit dismissed claims that EPA officials falsely told rescue</w:t>
      </w:r>
      <w:r>
        <w:t xml:space="preserve"> </w:t>
      </w:r>
      <w:r>
        <w:t xml:space="preserve">workers the air at the World Trade Center site was safe, holding that</w:t>
      </w:r>
      <w:r>
        <w:t xml:space="preserve"> </w:t>
      </w:r>
      <w:r>
        <w:t xml:space="preserve">“</w:t>
      </w:r>
      <w:r>
        <w:t xml:space="preserve">when agency officials decide how to</w:t>
      </w:r>
      <w:r>
        <w:t xml:space="preserve"> </w:t>
      </w:r>
      <w:r>
        <w:t xml:space="preserve">reconcile competing governmental obligations in the face of disaster, only an intent to cause harm arbitrarily</w:t>
      </w:r>
      <w:r>
        <w:t xml:space="preserve"> </w:t>
      </w:r>
      <w:r>
        <w:t xml:space="preserve">can shock the conscience in a way that justifies constitutional liability.</w:t>
      </w:r>
      <w:r>
        <w:t xml:space="preserve">”</w:t>
      </w:r>
      <w:r>
        <w:t xml:space="preserve"> </w:t>
      </w:r>
      <w:r>
        <w:rPr>
          <w:iCs/>
          <w:i/>
        </w:rPr>
        <w:t xml:space="preserve">Lombardi v. Whitman</w:t>
      </w:r>
      <w:r>
        <w:t xml:space="preserve">, 485 F.3d 73</w:t>
      </w:r>
      <w:r>
        <w:t xml:space="preserve"> </w:t>
      </w:r>
      <w:r>
        <w:t xml:space="preserve">(2d Cir. 2007). Officials who withhold energy or medical technology for stated</w:t>
      </w:r>
      <w:r>
        <w:t xml:space="preserve"> </w:t>
      </w:r>
      <w:r>
        <w:t xml:space="preserve">national-security reasons would invoke the same reasoning; a claim would need evidence of a purpose to harm, or</w:t>
      </w:r>
      <w:r>
        <w:t xml:space="preserve"> </w:t>
      </w:r>
      <w:r>
        <w:t xml:space="preserve">of affirmative statements that induced specific people to forgo available treatment without any competing</w:t>
      </w:r>
      <w:r>
        <w:t xml:space="preserve"> </w:t>
      </w:r>
      <w:r>
        <w:t xml:space="preserve">governmental interest.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No right of access to unapproved treatments.</w:t>
      </w:r>
      <w:r>
        <w:t xml:space="preserve"> </w:t>
      </w:r>
      <w:r>
        <w:rPr>
          <w:iCs/>
          <w:i/>
        </w:rPr>
        <w:t xml:space="preserve">Abigail Alliance</w:t>
      </w:r>
      <w:r>
        <w:t xml:space="preserve">, 495 F.3d at 697: no fundamental right</w:t>
      </w:r>
      <w:r>
        <w:t xml:space="preserve"> </w:t>
      </w:r>
      <w:r>
        <w:t xml:space="preserve">“</w:t>
      </w:r>
      <w:r>
        <w:t xml:space="preserve">deeply rooted in this Nation’s history and tradition</w:t>
      </w:r>
      <w:r>
        <w:t xml:space="preserve">”</w:t>
      </w:r>
      <w:r>
        <w:t xml:space="preserve"> </w:t>
      </w:r>
      <w:r>
        <w:t xml:space="preserve">of access to experimental drugs for the terminally</w:t>
      </w:r>
      <w:r>
        <w:t xml:space="preserve"> </w:t>
      </w:r>
      <w:r>
        <w:t xml:space="preserve">ill (applying</w:t>
      </w:r>
      <w:r>
        <w:t xml:space="preserve"> </w:t>
      </w:r>
      <w:r>
        <w:rPr>
          <w:iCs/>
          <w:i/>
        </w:rPr>
        <w:t xml:space="preserve">Washington v. Glucksberg</w:t>
      </w:r>
      <w:r>
        <w:t xml:space="preserve">, 521 U.S. 702 (1997)). The policy at issue needed only a rational</w:t>
      </w:r>
      <w:r>
        <w:t xml:space="preserve"> </w:t>
      </w:r>
      <w:r>
        <w:t xml:space="preserve">basis. The court rejected analogies to necessity, self-defense, and interference with rescue (Restatement</w:t>
      </w:r>
      <w:r>
        <w:t xml:space="preserve"> </w:t>
      </w:r>
      <w:r>
        <w:t xml:space="preserve">(Second) of Torts §326).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Takings and IP owners.</w:t>
      </w:r>
      <w:r>
        <w:t xml:space="preserve"> </w:t>
      </w:r>
      <w:r>
        <w:t xml:space="preserve">Inventors whose work is suppressed by secrecy orders have compensation claims;</w:t>
      </w:r>
      <w:r>
        <w:t xml:space="preserve"> </w:t>
      </w:r>
      <w:r>
        <w:t xml:space="preserve">the public does not.</w:t>
      </w:r>
    </w:p>
    <w:bookmarkEnd w:id="25"/>
    <w:bookmarkStart w:id="28" w:name="statutory-tools"/>
    <w:p>
      <w:pPr>
        <w:pStyle w:val="Heading2"/>
      </w:pPr>
      <w:r>
        <w:t xml:space="preserve">3. Statutory tools</w:t>
      </w:r>
    </w:p>
    <w:tbl>
      <w:tblPr>
        <w:tblStyle w:val="Table"/>
        <w:tblW w:type="pct" w:w="5000"/>
        <w:jc w:val="start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Tool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Limits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Bayh-Dole march-in, 35 U.S.C. §203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Inventions made by contractors with federal funding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Agency discretion; never exercised; NIST draft interagency framework (request for information, Fed. Reg. Doc. 2023-26930 (Dec. 8, 2023)) would allow agencies to consider price; no final framework appears in the Federal Register as of Oct. 15, 2026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Government use, 28 U.S.C. §1498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Any patented invention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Lets government use; does not compel release to public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Invention Secrecy Act, 35 U.S.C. §§181-188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Privately filed applications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Orders renewable yearly; compensation for inventors; no public right of release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Defense Production Act, 50 U.S.C. §4501 et seq.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Prioritization and allocation for national defense, including energy and health emergencies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Government power, not public right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Technology transfer statutes (Stevenson-Wydler, 15 U.S.C. §3710 et seq.)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Federal laboratory inventions; duty to transfer technology</w:t>
            </w:r>
            <w:r>
              <w:t xml:space="preserve"> </w:t>
            </w:r>
            <w:r>
              <w:t xml:space="preserve">“</w:t>
            </w:r>
            <w:r>
              <w:t xml:space="preserve">whenever appropriate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Classified technology excluded in practice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Right to Try Act, Pub. L. 115-176 (2018)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Access to eligible investigational drugs for terminally ill patients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Applies to drugs that have passed Phase 1 trials; not classified technology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Atomic Energy Act compulsory licensing, 42 U.S.C. §2183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Commission (now DOE and NRC) may declare a patent</w:t>
            </w:r>
            <w:r>
              <w:t xml:space="preserve"> </w:t>
            </w:r>
            <w:r>
              <w:t xml:space="preserve">“</w:t>
            </w:r>
            <w:r>
              <w:t xml:space="preserve">affected with the public interest</w:t>
            </w:r>
            <w:r>
              <w:t xml:space="preserve">”</w:t>
            </w:r>
            <w:r>
              <w:t xml:space="preserve"> </w:t>
            </w:r>
            <w:r>
              <w:t xml:space="preserve">if the invention is</w:t>
            </w:r>
            <w:r>
              <w:t xml:space="preserve"> </w:t>
            </w:r>
            <w:r>
              <w:t xml:space="preserve">“</w:t>
            </w:r>
            <w:r>
              <w:t xml:space="preserve">of primary importance in the production or utilization of special nuclear material or atomic energy</w:t>
            </w:r>
            <w:r>
              <w:t xml:space="preserve">”</w:t>
            </w:r>
            <w:r>
              <w:t xml:space="preserve"> </w:t>
            </w:r>
            <w:r>
              <w:t xml:space="preserve">and its licensing is of primary importance to the Act’s purposes, and then license it to others with a reasonable royalty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Limited to atomic energy inventions; a model for a broader compulsory license for UAP-derived energy technology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FDA access routes (expanded access, 21 C.F.R. §312.300 et seq.; emergency use authorization, 21 U.S.C. §360bbb-3; breakthrough devices, 21 U.S.C. §360e-3)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Earlier patient access to unapproved drugs and devices, and faster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 a sponsor willing to apply and data to support it; nothing compels a holder of classified medical technology to seek approval</w:t>
            </w:r>
          </w:p>
        </w:tc>
      </w:tr>
    </w:tbl>
    <w:bookmarkStart w:id="26" w:name="march-in-in-practice"/>
    <w:p>
      <w:pPr>
        <w:pStyle w:val="Heading3"/>
      </w:pPr>
      <w:r>
        <w:t xml:space="preserve">3.1 March-in in practice</w:t>
      </w:r>
    </w:p>
    <w:p>
      <w:pPr>
        <w:pStyle w:val="FirstParagraph"/>
      </w:pPr>
      <w:r>
        <w:t xml:space="preserve">The National Institutes of Health has refused every march-in petition it has decided, including petitions over the</w:t>
      </w:r>
      <w:r>
        <w:t xml:space="preserve"> </w:t>
      </w:r>
      <w:r>
        <w:t xml:space="preserve">price of ritonavir (Norvir) in 2004 and of enzalutamide (Xtandi) in 2016 and 2023. The record matters for design: a</w:t>
      </w:r>
      <w:r>
        <w:t xml:space="preserve"> </w:t>
      </w:r>
      <w:r>
        <w:t xml:space="preserve">release statute that relies on Bayh-Dole’s march-in standard will not produce access, and</w:t>
      </w:r>
      <w:r>
        <w:t xml:space="preserve"> </w:t>
      </w:r>
      <w:hyperlink r:id="rId21">
        <w:r>
          <w:rPr>
            <w:rStyle w:val="Hyperlink"/>
          </w:rPr>
          <w:t xml:space="preserve">Form D6-1</w:t>
        </w:r>
      </w:hyperlink>
      <w:r>
        <w:t xml:space="preserve"> </w:t>
      </w:r>
      <w:r>
        <w:t xml:space="preserve">therefore uses</w:t>
      </w:r>
      <w:r>
        <w:t xml:space="preserve"> </w:t>
      </w:r>
      <w:r>
        <w:t xml:space="preserve">its own presumption of release and licensing terms.</w:t>
      </w:r>
    </w:p>
    <w:bookmarkEnd w:id="26"/>
    <w:bookmarkStart w:id="27" w:name="a-worked-example"/>
    <w:p>
      <w:pPr>
        <w:pStyle w:val="Heading3"/>
      </w:pPr>
      <w:r>
        <w:t xml:space="preserve">3.2 A worked example</w:t>
      </w:r>
    </w:p>
    <w:p>
      <w:pPr>
        <w:pStyle w:val="FirstParagraph"/>
      </w:pPr>
      <w:r>
        <w:t xml:space="preserve">Suppose a program has learned from recovered material how to make a room-temperature superconductor, one of the</w:t>
      </w:r>
      <w:r>
        <w:t xml:space="preserve"> </w:t>
      </w:r>
      <w:r>
        <w:t xml:space="preserve">capabilities a former director of the Navy’s UAP Task Force says the technology could provide (Jay Stratton,</w:t>
      </w:r>
      <w:r>
        <w:t xml:space="preserve"> </w:t>
      </w:r>
      <w:r>
        <w:rPr>
          <w:iCs/>
          <w:i/>
        </w:rPr>
        <w:t xml:space="preserve">Out of</w:t>
      </w:r>
      <w:r>
        <w:rPr>
          <w:iCs/>
          <w:i/>
        </w:rPr>
        <w:t xml:space="preserve"> </w:t>
      </w:r>
      <w:r>
        <w:rPr>
          <w:iCs/>
          <w:i/>
        </w:rPr>
        <w:t xml:space="preserve">the Shadows</w:t>
      </w:r>
      <w:r>
        <w:t xml:space="preserve"> </w:t>
      </w:r>
      <w:r>
        <w:t xml:space="preserve">chs. 8, 67 (2026)). The information is classified, so FOIA and the Records Collection will release</w:t>
      </w:r>
      <w:r>
        <w:t xml:space="preserve"> </w:t>
      </w:r>
      <w:r>
        <w:t xml:space="preserve">descriptions at most (Exemptions 1 and 3; 10 U.S.C. §130). If a contractor patented a human improvement, the</w:t>
      </w:r>
      <w:r>
        <w:t xml:space="preserve"> </w:t>
      </w:r>
      <w:r>
        <w:t xml:space="preserve">government may use it under 28 U.S.C. §1498 but need not license it to anyone; march-in, if the patent arose under a</w:t>
      </w:r>
      <w:r>
        <w:t xml:space="preserve"> </w:t>
      </w:r>
      <w:r>
        <w:t xml:space="preserve">funding agreement, has never been used. If the process involves nuclear material, 42 U.S.C. §2183 would let DOE</w:t>
      </w:r>
      <w:r>
        <w:t xml:space="preserve"> </w:t>
      </w:r>
      <w:r>
        <w:t xml:space="preserve">declare the patent affected with the public interest and license it, which is the only existing compelled-licensing</w:t>
      </w:r>
      <w:r>
        <w:t xml:space="preserve"> </w:t>
      </w:r>
      <w:r>
        <w:t xml:space="preserve">route. No court could order release. Only a statute of the kind in</w:t>
      </w:r>
      <w:r>
        <w:t xml:space="preserve"> </w:t>
      </w:r>
      <w:hyperlink r:id="rId21">
        <w:r>
          <w:rPr>
            <w:rStyle w:val="Hyperlink"/>
          </w:rPr>
          <w:t xml:space="preserve">Form D6-1</w:t>
        </w:r>
      </w:hyperlink>
      <w:r>
        <w:t xml:space="preserve">, with an inventory, a civilian benefit</w:t>
      </w:r>
      <w:r>
        <w:t xml:space="preserve"> </w:t>
      </w:r>
      <w:r>
        <w:t xml:space="preserve">review, and a presumption of release, would reach it.</w:t>
      </w:r>
    </w:p>
    <w:bookmarkEnd w:id="27"/>
    <w:bookmarkEnd w:id="28"/>
    <w:bookmarkStart w:id="29" w:name="international-law"/>
    <w:p>
      <w:pPr>
        <w:pStyle w:val="Heading2"/>
      </w:pPr>
      <w:r>
        <w:t xml:space="preserve">4. International law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ICESCR Article 15(1)(b)</w:t>
      </w:r>
      <w:r>
        <w:t xml:space="preserve"> </w:t>
      </w:r>
      <w:r>
        <w:t xml:space="preserve">recognizes the right</w:t>
      </w:r>
      <w:r>
        <w:t xml:space="preserve"> </w:t>
      </w:r>
      <w:r>
        <w:t xml:space="preserve">“</w:t>
      </w:r>
      <w:r>
        <w:t xml:space="preserve">to enjoy the benefits of scientific progress and its</w:t>
      </w:r>
      <w:r>
        <w:t xml:space="preserve"> </w:t>
      </w:r>
      <w:r>
        <w:t xml:space="preserve">applications.</w:t>
      </w:r>
      <w:r>
        <w:t xml:space="preserve">”</w:t>
      </w:r>
      <w:r>
        <w:t xml:space="preserve"> </w:t>
      </w:r>
      <w:r>
        <w:t xml:space="preserve">General Comment No. 25 (2020) lists as a core obligation that states</w:t>
      </w:r>
      <w:r>
        <w:t xml:space="preserve"> </w:t>
      </w:r>
      <w:r>
        <w:t xml:space="preserve">“</w:t>
      </w:r>
      <w:r>
        <w:t xml:space="preserve">[e]liminate laws, policies</w:t>
      </w:r>
      <w:r>
        <w:t xml:space="preserve"> </w:t>
      </w:r>
      <w:r>
        <w:t xml:space="preserve">and practices that unjustifiably limit access by individuals or particular groups to facilities, services,</w:t>
      </w:r>
      <w:r>
        <w:t xml:space="preserve"> </w:t>
      </w:r>
      <w:r>
        <w:t xml:space="preserve">goods and information related to science, scientific knowledge and its applications</w:t>
      </w:r>
      <w:r>
        <w:t xml:space="preserve">”</w:t>
      </w:r>
      <w:r>
        <w:t xml:space="preserve"> </w:t>
      </w:r>
      <w:r>
        <w:t xml:space="preserve">(para. 52), and allows</w:t>
      </w:r>
      <w:r>
        <w:t xml:space="preserve"> </w:t>
      </w:r>
      <w:r>
        <w:t xml:space="preserve">limitations only if they are</w:t>
      </w:r>
      <w:r>
        <w:t xml:space="preserve"> </w:t>
      </w:r>
      <w:r>
        <w:t xml:space="preserve">“</w:t>
      </w:r>
      <w:r>
        <w:t xml:space="preserve">determined by law,</w:t>
      </w:r>
      <w:r>
        <w:t xml:space="preserve">”</w:t>
      </w:r>
      <w:r>
        <w:t xml:space="preserve"> </w:t>
      </w:r>
      <w:r>
        <w:t xml:space="preserve">promote</w:t>
      </w:r>
      <w:r>
        <w:t xml:space="preserve"> </w:t>
      </w:r>
      <w:r>
        <w:t xml:space="preserve">“</w:t>
      </w:r>
      <w:r>
        <w:t xml:space="preserve">the general welfare in a democratic society,</w:t>
      </w:r>
      <w:r>
        <w:t xml:space="preserve">”</w:t>
      </w:r>
      <w:r>
        <w:t xml:space="preserve"> </w:t>
      </w:r>
      <w:r>
        <w:t xml:space="preserve">are</w:t>
      </w:r>
      <w:r>
        <w:t xml:space="preserve"> </w:t>
      </w:r>
      <w:r>
        <w:t xml:space="preserve">compatible with the nature of the right, and are proportionate, using the least restrictive means available</w:t>
      </w:r>
      <w:r>
        <w:t xml:space="preserve"> </w:t>
      </w:r>
      <w:r>
        <w:t xml:space="preserve">(para. 21, applying Art. 4). U.N. Doc. E/C.12/GC/25 (Apr. 30, 2020). The United States signed the ICESCR in 1977</w:t>
      </w:r>
      <w:r>
        <w:t xml:space="preserve"> </w:t>
      </w:r>
      <w:r>
        <w:t xml:space="preserve">but has not ratified it.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ICCPR Article 6</w:t>
      </w:r>
      <w:r>
        <w:t xml:space="preserve"> </w:t>
      </w:r>
      <w:r>
        <w:t xml:space="preserve">(right to life), as read by the Human Rights Committee in General Comment No. 36 (2018),</w:t>
      </w:r>
      <w:r>
        <w:t xml:space="preserve"> </w:t>
      </w:r>
      <w:r>
        <w:t xml:space="preserve">includes positive duties: the obligation</w:t>
      </w:r>
      <w:r>
        <w:t xml:space="preserve"> </w:t>
      </w:r>
      <w:r>
        <w:t xml:space="preserve">“</w:t>
      </w:r>
      <w:r>
        <w:t xml:space="preserve">extends to reasonably foreseeable threats and life-threatening</w:t>
      </w:r>
      <w:r>
        <w:t xml:space="preserve"> </w:t>
      </w:r>
      <w:r>
        <w:t xml:space="preserve">situations that can result in loss of life</w:t>
      </w:r>
      <w:r>
        <w:t xml:space="preserve">”</w:t>
      </w:r>
      <w:r>
        <w:t xml:space="preserve"> </w:t>
      </w:r>
      <w:r>
        <w:t xml:space="preserve">(para. 7), and states</w:t>
      </w:r>
      <w:r>
        <w:t xml:space="preserve"> </w:t>
      </w:r>
      <w:r>
        <w:t xml:space="preserve">“</w:t>
      </w:r>
      <w:r>
        <w:t xml:space="preserve">should take appropriate measures to address</w:t>
      </w:r>
      <w:r>
        <w:t xml:space="preserve"> </w:t>
      </w:r>
      <w:r>
        <w:t xml:space="preserve">the general conditions in society that may give rise to direct threats to life,</w:t>
      </w:r>
      <w:r>
        <w:t xml:space="preserve">”</w:t>
      </w:r>
      <w:r>
        <w:t xml:space="preserve"> </w:t>
      </w:r>
      <w:r>
        <w:t xml:space="preserve">including</w:t>
      </w:r>
      <w:r>
        <w:t xml:space="preserve"> </w:t>
      </w:r>
      <w:r>
        <w:t xml:space="preserve">“</w:t>
      </w:r>
      <w:r>
        <w:t xml:space="preserve">the prevalence of</w:t>
      </w:r>
      <w:r>
        <w:t xml:space="preserve"> </w:t>
      </w:r>
      <w:r>
        <w:t xml:space="preserve">life-threatening diseases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extreme poverty,</w:t>
      </w:r>
      <w:r>
        <w:t xml:space="preserve">”</w:t>
      </w:r>
      <w:r>
        <w:t xml:space="preserve"> </w:t>
      </w:r>
      <w:r>
        <w:t xml:space="preserve">with measures</w:t>
      </w:r>
      <w:r>
        <w:t xml:space="preserve"> </w:t>
      </w:r>
      <w:r>
        <w:t xml:space="preserve">“</w:t>
      </w:r>
      <w:r>
        <w:t xml:space="preserve">designed to ensure access without delay by</w:t>
      </w:r>
      <w:r>
        <w:t xml:space="preserve"> </w:t>
      </w:r>
      <w:r>
        <w:t xml:space="preserve">individuals to essential goods</w:t>
      </w:r>
      <w:r>
        <w:t xml:space="preserve">”</w:t>
      </w:r>
      <w:r>
        <w:t xml:space="preserve"> </w:t>
      </w:r>
      <w:r>
        <w:t xml:space="preserve">(para. 26). U.N. Doc. CCPR/C/GC/36 (Sept. 3, 2019). The United States is a</w:t>
      </w:r>
      <w:r>
        <w:t xml:space="preserve"> </w:t>
      </w:r>
      <w:r>
        <w:t xml:space="preserve">party to the ICCPR but treats it as non-self-executing and has rejected the Committee’s broader readings.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Arguments for advocacy</w:t>
      </w:r>
      <w:r>
        <w:t xml:space="preserve">: if a government withholds technology that could prevent large-scale deaths</w:t>
      </w:r>
      <w:r>
        <w:t xml:space="preserve"> </w:t>
      </w:r>
      <w:r>
        <w:t xml:space="preserve">(for example, from energy poverty or disease), these instruments supply the vocabulary of obligation, and</w:t>
      </w:r>
      <w:r>
        <w:t xml:space="preserve"> </w:t>
      </w:r>
      <w:r>
        <w:t xml:space="preserve">other states could raise the matter diplomatically.</w:t>
      </w:r>
    </w:p>
    <w:bookmarkEnd w:id="29"/>
    <w:bookmarkStart w:id="31" w:name="designing-a-release-statute"/>
    <w:p>
      <w:pPr>
        <w:pStyle w:val="Heading2"/>
      </w:pPr>
      <w:r>
        <w:t xml:space="preserve">5. Designing a release statute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Inventory</w:t>
      </w:r>
      <w:r>
        <w:t xml:space="preserve">: require AARO, DOE, and DoD to inventory technologies derived from UAP-related material or</w:t>
      </w:r>
      <w:r>
        <w:t xml:space="preserve"> </w:t>
      </w:r>
      <w:r>
        <w:t xml:space="preserve">research and report to Congress, with a classified annex.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Civilian benefit review</w:t>
      </w:r>
      <w:r>
        <w:t xml:space="preserve">: an independent board (including NIH, DOE, and National Academies</w:t>
      </w:r>
      <w:r>
        <w:t xml:space="preserve"> </w:t>
      </w:r>
      <w:r>
        <w:t xml:space="preserve">representatives) reviews each technology for energy and medical applications.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Presumption of release</w:t>
      </w:r>
      <w:r>
        <w:t xml:space="preserve">: technologies with significant civilian benefit are released for licensing</w:t>
      </w:r>
      <w:r>
        <w:t xml:space="preserve"> </w:t>
      </w:r>
      <w:r>
        <w:t xml:space="preserve">unless the Secretary certifies, by clear and convincing evidence, a specific national security harm, with</w:t>
      </w:r>
      <w:r>
        <w:t xml:space="preserve"> </w:t>
      </w:r>
      <w:r>
        <w:t xml:space="preserve">annual review.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Technology transfer</w:t>
      </w:r>
      <w:r>
        <w:t xml:space="preserve">: licensing through federal laboratories, with march-in-style public-interest</w:t>
      </w:r>
      <w:r>
        <w:t xml:space="preserve"> </w:t>
      </w:r>
      <w:r>
        <w:t xml:space="preserve">conditions and price commitments.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Export controls</w:t>
      </w:r>
      <w:r>
        <w:t xml:space="preserve">: define controlled elements narrowly; use 0Y521-style temporary controls rather than</w:t>
      </w:r>
      <w:r>
        <w:t xml:space="preserve"> </w:t>
      </w:r>
      <w:r>
        <w:t xml:space="preserve">blanket USML treatment (</w:t>
      </w:r>
      <w:hyperlink r:id="rId30">
        <w:r>
          <w:rPr>
            <w:rStyle w:val="Hyperlink"/>
          </w:rPr>
          <w:t xml:space="preserve">Issue A5</w:t>
        </w:r>
      </w:hyperlink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Compensation</w:t>
      </w:r>
      <w:r>
        <w:t xml:space="preserve">: protect private inventors and contractors (Issues E1, E2).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International cooperation</w:t>
      </w:r>
      <w:r>
        <w:t xml:space="preserve">: share benefits consistent with Article 15 principles.</w:t>
      </w:r>
    </w:p>
    <w:bookmarkEnd w:id="31"/>
    <w:bookmarkStart w:id="33" w:name="practice-points"/>
    <w:p>
      <w:pPr>
        <w:pStyle w:val="Heading2"/>
      </w:pPr>
      <w:r>
        <w:t xml:space="preserve">6. Practice points</w:t>
      </w:r>
    </w:p>
    <w:p>
      <w:pPr>
        <w:pStyle w:val="Compact"/>
        <w:numPr>
          <w:ilvl w:val="0"/>
          <w:numId w:val="1006"/>
        </w:numPr>
      </w:pPr>
      <w:r>
        <w:t xml:space="preserve">For inventors with secrecy orders: track renewal dates, petition for rescission, and file §183 claims.</w:t>
      </w:r>
    </w:p>
    <w:p>
      <w:pPr>
        <w:pStyle w:val="Compact"/>
        <w:numPr>
          <w:ilvl w:val="0"/>
          <w:numId w:val="1006"/>
        </w:numPr>
      </w:pPr>
      <w:r>
        <w:t xml:space="preserve">For advocates: request records on technology derived from UAP programs (</w:t>
      </w:r>
      <w:hyperlink r:id="rId32">
        <w:r>
          <w:rPr>
            <w:rStyle w:val="Hyperlink"/>
          </w:rPr>
          <w:t xml:space="preserve">Form A2-1</w:t>
        </w:r>
      </w:hyperlink>
      <w:r>
        <w:t xml:space="preserve"> </w:t>
      </w:r>
      <w:r>
        <w:t xml:space="preserve">adapted); seek</w:t>
      </w:r>
      <w:r>
        <w:t xml:space="preserve"> </w:t>
      </w:r>
      <w:r>
        <w:t xml:space="preserve">congressional inventory requirements (</w:t>
      </w:r>
      <w:hyperlink r:id="rId21">
        <w:r>
          <w:rPr>
            <w:rStyle w:val="Hyperlink"/>
          </w:rPr>
          <w:t xml:space="preserve">Form D6-1</w:t>
        </w:r>
      </w:hyperlink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For patients: there is no litigation route to compel release of classified medical technology; focus on</w:t>
      </w:r>
      <w:r>
        <w:t xml:space="preserve"> </w:t>
      </w:r>
      <w:r>
        <w:t xml:space="preserve">legislative and administrative channels.</w:t>
      </w:r>
    </w:p>
    <w:bookmarkEnd w:id="33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Must the Government Release Life-Saving Technology? Withheld Energy and ...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32" Type="http://schemas.openxmlformats.org/officeDocument/2006/relationships/hyperlink" Target="https://nhilaw.com/forms/a2-1.html" TargetMode="External"/><Relationship Id="rId21" Type="http://schemas.openxmlformats.org/officeDocument/2006/relationships/hyperlink" Target="https://nhilaw.com/forms/d6-1.html" TargetMode="External"/><Relationship Id="rId30" Type="http://schemas.openxmlformats.org/officeDocument/2006/relationships/hyperlink" Target="https://nhilaw.com/issues/a5.html" TargetMode="External"/><Relationship Id="rId23" Type="http://schemas.openxmlformats.org/officeDocument/2006/relationships/hyperlink" Target="https://nhilaw.com/issues/e2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32" Type="http://schemas.openxmlformats.org/officeDocument/2006/relationships/hyperlink" Target="https://nhilaw.com/forms/a2-1.html" TargetMode="External"/><Relationship Id="rId21" Type="http://schemas.openxmlformats.org/officeDocument/2006/relationships/hyperlink" Target="https://nhilaw.com/forms/d6-1.html" TargetMode="External"/><Relationship Id="rId30" Type="http://schemas.openxmlformats.org/officeDocument/2006/relationships/hyperlink" Target="https://nhilaw.com/issues/a5.html" TargetMode="External"/><Relationship Id="rId23" Type="http://schemas.openxmlformats.org/officeDocument/2006/relationships/hyperlink" Target="https://nhilaw.com/issues/e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 the Government Release Life-Saving Technology? Withheld Energy and Medical Advances</dc:title>
  <dc:creator>nhilaw.com</dc:creator>
  <cp:keywords/>
  <dcterms:created xsi:type="dcterms:W3CDTF">2026-10-19T03:13:46Z</dcterms:created>
  <dcterms:modified xsi:type="dcterms:W3CDTF">2026-10-19T03:13:46Z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nhilaw.com/issues/d6.html</vt:lpwstr>
  </property>
</Properties>
</file>