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3" w:name="Xe159eac8f845347cf4b9a5206fe97dc2a969c4a"/>
    <w:p>
      <w:pPr>
        <w:pStyle w:val="Heading1"/>
      </w:pPr>
      <w:r>
        <w:t xml:space="preserve">Form D7-1. Pilot’s Letter to an Air Carrier After a UAP Report: Protected Activity and Preservation</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https://nhilaw.com/forms/d7-1.html</w:t>
      </w:r>
    </w:p>
    <w:p>
      <w:pPr>
        <w:pStyle w:val="BodyText"/>
        <w:spacing w:after="160" w:line="259" w:lineRule="auto"/>
      </w:pPr>
      <w:r>
        <w:rPr>
          <w:bCs/>
          <w:b/>
        </w:rPr>
        <w:t xml:space="preserve">Use.</w:t>
      </w:r>
      <w:r>
        <w:t xml:space="preserve"> </w:t>
      </w:r>
      <w:r>
        <w:t xml:space="preserve">The letter tells the carrier that the report was protected activity under AIR21, asks it to preserve the</w:t>
      </w:r>
      <w:r>
        <w:t xml:space="preserve"> </w:t>
      </w:r>
      <w:r>
        <w:t xml:space="preserve">records, and asks for the basis of any action taken. It also creates the record an AIR21 complaint will rest on</w:t>
      </w:r>
      <w:r>
        <w:t xml:space="preserve"> </w:t>
      </w:r>
      <w:r>
        <w:t xml:space="preserve">(</w:t>
      </w:r>
      <w:hyperlink r:id="rId20">
        <w:r>
          <w:rPr>
            <w:rStyle w:val="Hyperlink"/>
          </w:rPr>
          <w:t xml:space="preserve">Issue D7</w:t>
        </w:r>
      </w:hyperlink>
      <w:r>
        <w:t xml:space="preserve"> </w:t>
      </w:r>
      <w:r>
        <w:t xml:space="preserve">§3).</w:t>
      </w:r>
    </w:p>
    <w:p>
      <w:pPr>
        <w:pStyle w:val="BodyText"/>
        <w:spacing w:after="160" w:line="259" w:lineRule="auto"/>
      </w:pPr>
      <w:r>
        <w:rPr>
          <w:bCs/>
          <w:b/>
        </w:rPr>
        <w:t xml:space="preserve">When to use.</w:t>
      </w:r>
      <w:r>
        <w:t xml:space="preserve"> </w:t>
      </w:r>
      <w:r>
        <w:t xml:space="preserve">After a crew member reports a UAP and the carrier removes the employee from duty, orders an</w:t>
      </w:r>
      <w:r>
        <w:t xml:space="preserve"> </w:t>
      </w:r>
      <w:r>
        <w:t xml:space="preserve">evaluation, or signals discipline.</w:t>
      </w:r>
      <w:r>
        <w:t xml:space="preserve"> </w:t>
      </w:r>
      <w:r>
        <w:rPr>
          <w:bCs/>
          <w:b/>
        </w:rPr>
        <w:t xml:space="preserve">Not for:</w:t>
      </w:r>
      <w:r>
        <w:t xml:space="preserve"> </w:t>
      </w:r>
      <w:r>
        <w:t xml:space="preserve">Military or federal employees, who use 10 U.S.C. §1034 or other</w:t>
      </w:r>
      <w:r>
        <w:t xml:space="preserve"> </w:t>
      </w:r>
      <w:r>
        <w:t xml:space="preserve">reprisal remedies (</w:t>
      </w:r>
      <w:hyperlink r:id="rId21">
        <w:r>
          <w:rPr>
            <w:rStyle w:val="Hyperlink"/>
          </w:rPr>
          <w:t xml:space="preserve">Issue C1</w:t>
        </w:r>
      </w:hyperlink>
      <w:r>
        <w:t xml:space="preserve">).</w:t>
      </w:r>
    </w:p>
    <w:p>
      <w:pPr>
        <w:pStyle w:val="BodyText"/>
        <w:spacing w:after="160" w:line="259" w:lineRule="auto"/>
      </w:pPr>
      <w:r>
        <w:rPr>
          <w:bCs/>
          <w:b/>
        </w:rPr>
        <w:t xml:space="preserve">Deadlines.</w:t>
      </w:r>
      <w:r>
        <w:t xml:space="preserve"> </w:t>
      </w:r>
      <w:r>
        <w:t xml:space="preserve">The AIR21 complaint to OSHA must be filed within 90 days of the adverse action (49 U.S.C.</w:t>
      </w:r>
      <w:r>
        <w:t xml:space="preserve"> </w:t>
      </w:r>
      <w:r>
        <w:t xml:space="preserve">§42121(b)(1)). This letter does not extend that period.</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[Counsel letterhead]</w:t>
      </w:r>
    </w:p>
    <w:p>
      <w:pPr>
        <w:pStyle w:val="BodyText"/>
      </w:pPr>
      <w:r>
        <w:t xml:space="preserve">[Date]</w:t>
      </w:r>
    </w:p>
    <w:p>
      <w:pPr>
        <w:pStyle w:val="BodyText"/>
      </w:pPr>
      <w:r>
        <w:rPr>
          <w:bCs/>
          <w:b/>
        </w:rPr>
        <w:t xml:space="preserve">By email and overnight delivery</w:t>
      </w:r>
    </w:p>
    <w:p>
      <w:pPr>
        <w:pStyle w:val="BodyText"/>
      </w:pPr>
      <w:r>
        <w:t xml:space="preserve">[Name], Vice President, Flight Operations [and General Counsel]</w:t>
      </w:r>
      <w:r>
        <w:br/>
      </w:r>
      <w:r>
        <w:t xml:space="preserve">[Air carrier]</w:t>
      </w:r>
      <w:r>
        <w:br/>
      </w:r>
      <w:r>
        <w:t xml:space="preserve">[Address]</w:t>
      </w:r>
    </w:p>
    <w:p>
      <w:pPr>
        <w:pStyle w:val="BodyText"/>
      </w:pPr>
      <w:r>
        <w:t xml:space="preserve">cc: [Union representative, if applicable]</w:t>
      </w:r>
    </w:p>
    <w:p>
      <w:pPr>
        <w:pStyle w:val="BodyText"/>
      </w:pPr>
      <w:r>
        <w:rPr>
          <w:bCs/>
          <w:b/>
        </w:rPr>
        <w:t xml:space="preserve">Re: [Employee], [position, employee number]: report of [date] and subsequent action</w:t>
      </w:r>
    </w:p>
    <w:p>
      <w:pPr>
        <w:pStyle w:val="BodyText"/>
      </w:pPr>
      <w:r>
        <w:t xml:space="preserve">Dear [Name]:</w:t>
      </w:r>
    </w:p>
    <w:p>
      <w:pPr>
        <w:pStyle w:val="BodyText"/>
      </w:pPr>
      <w:r>
        <w:t xml:space="preserve">I represent [Employee], a [captain / first officer / flight attendant] with [carrier]. On [date], during flight</w:t>
      </w:r>
      <w:r>
        <w:t xml:space="preserve"> </w:t>
      </w:r>
      <w:r>
        <w:t xml:space="preserve">[number] from [origin] to [destination], [Employee] reported to [air traffic control / the captain / the company</w:t>
      </w:r>
      <w:r>
        <w:t xml:space="preserve"> </w:t>
      </w:r>
      <w:r>
        <w:t xml:space="preserve">through (program)] an unidentified object [describe briefly: e.g.,</w:t>
      </w:r>
      <w:r>
        <w:t xml:space="preserve"> </w:t>
      </w:r>
      <w:r>
        <w:t xml:space="preserve">“</w:t>
      </w:r>
      <w:r>
        <w:t xml:space="preserve">that remained within approximately two miles of</w:t>
      </w:r>
      <w:r>
        <w:t xml:space="preserve"> </w:t>
      </w:r>
      <w:r>
        <w:t xml:space="preserve">the aircraft for four minutes at flight level 350</w:t>
      </w:r>
      <w:r>
        <w:t xml:space="preserve">”</w:t>
      </w:r>
      <w:r>
        <w:t xml:space="preserve">]. [Other crew members / air traffic control] [observed / were</w:t>
      </w:r>
      <w:r>
        <w:t xml:space="preserve"> </w:t>
      </w:r>
      <w:r>
        <w:t xml:space="preserve">informed of] the object.</w:t>
      </w:r>
    </w:p>
    <w:p>
      <w:pPr>
        <w:pStyle w:val="BodyText"/>
      </w:pPr>
      <w:r>
        <w:rPr>
          <w:bCs/>
          <w:b/>
        </w:rPr>
        <w:t xml:space="preserve">1. Protected activity.</w:t>
      </w:r>
      <w:r>
        <w:t xml:space="preserve"> </w:t>
      </w:r>
      <w:r>
        <w:t xml:space="preserve">The report was information about a potential hazard to the safety of flight, given to</w:t>
      </w:r>
      <w:r>
        <w:t xml:space="preserve"> </w:t>
      </w:r>
      <w:r>
        <w:t xml:space="preserve">the employer and to the FAA. It is protected activity under 49 U.S.C. §42121(a), which forbids an air carrier to</w:t>
      </w:r>
      <w:r>
        <w:t xml:space="preserve"> </w:t>
      </w:r>
      <w:r>
        <w:t xml:space="preserve">discharge or otherwise discriminate against an employee for providing information relating to a violation or</w:t>
      </w:r>
      <w:r>
        <w:t xml:space="preserve"> </w:t>
      </w:r>
      <w:r>
        <w:t xml:space="preserve">alleged violation of an FAA order, regulation, or standard, or any other federal law relating to air carrier</w:t>
      </w:r>
      <w:r>
        <w:t xml:space="preserve"> </w:t>
      </w:r>
      <w:r>
        <w:t xml:space="preserve">safety. The report was also made under the FAA’s procedures for UAP reports (FAA Order JO 7110.65 ¶9-8-1).</w:t>
      </w:r>
    </w:p>
    <w:p>
      <w:pPr>
        <w:pStyle w:val="BodyText"/>
      </w:pPr>
      <w:r>
        <w:rPr>
          <w:bCs/>
          <w:b/>
        </w:rPr>
        <w:t xml:space="preserve">2. The action taken.</w:t>
      </w:r>
      <w:r>
        <w:t xml:space="preserve"> </w:t>
      </w:r>
      <w:r>
        <w:t xml:space="preserve">On [date], [carrier] [removed (Employee) from the schedule / required a fitness-for-duty</w:t>
      </w:r>
      <w:r>
        <w:t xml:space="preserve"> </w:t>
      </w:r>
      <w:r>
        <w:t xml:space="preserve">evaluation / issued (description)]. Please state in writing the reasons for this action, identify every person who</w:t>
      </w:r>
      <w:r>
        <w:t xml:space="preserve"> </w:t>
      </w:r>
      <w:r>
        <w:t xml:space="preserve">made or recommended it, and provide copies of any policy on which it is based.</w:t>
      </w:r>
    </w:p>
    <w:p>
      <w:pPr>
        <w:pStyle w:val="BodyText"/>
      </w:pPr>
      <w:r>
        <w:rPr>
          <w:bCs/>
          <w:b/>
        </w:rPr>
        <w:t xml:space="preserve">3. Medical fitness.</w:t>
      </w:r>
      <w:r>
        <w:t xml:space="preserve"> </w:t>
      </w:r>
      <w:r>
        <w:t xml:space="preserve">[Employee] holds a current [first-class] medical certificate and has no condition that would</w:t>
      </w:r>
      <w:r>
        <w:t xml:space="preserve"> </w:t>
      </w:r>
      <w:r>
        <w:t xml:space="preserve">affect it. A report of an observed object, corroborated by [other crew / ATC / radar], is not evidence of a medical</w:t>
      </w:r>
      <w:r>
        <w:t xml:space="preserve"> </w:t>
      </w:r>
      <w:r>
        <w:t xml:space="preserve">condition. If [carrier] intends to require any evaluation, please identify the evaluator, the questions to be</w:t>
      </w:r>
      <w:r>
        <w:t xml:space="preserve"> </w:t>
      </w:r>
      <w:r>
        <w:t xml:space="preserve">addressed, and the basis for believing an evaluation is warranted, and agree that the evaluator’s report will be</w:t>
      </w:r>
      <w:r>
        <w:t xml:space="preserve"> </w:t>
      </w:r>
      <w:r>
        <w:t xml:space="preserve">provided to [Employee].</w:t>
      </w:r>
    </w:p>
    <w:p>
      <w:pPr>
        <w:pStyle w:val="BodyText"/>
      </w:pPr>
      <w:r>
        <w:rPr>
          <w:bCs/>
          <w:b/>
        </w:rPr>
        <w:t xml:space="preserve">4. Preservation.</w:t>
      </w:r>
      <w:r>
        <w:t xml:space="preserve"> </w:t>
      </w:r>
      <w:r>
        <w:t xml:space="preserve">Please preserve all records relating to the flight and to [Employee]’s report and employment</w:t>
      </w:r>
      <w:r>
        <w:t xml:space="preserve"> </w:t>
      </w:r>
      <w:r>
        <w:t xml:space="preserve">since [date], including flight data and cockpit voice recordings to the extent retained, crew reports, safety</w:t>
      </w:r>
      <w:r>
        <w:t xml:space="preserve"> </w:t>
      </w:r>
      <w:r>
        <w:t xml:space="preserve">program reports, communications among management about the report or about [Employee], and any communications with</w:t>
      </w:r>
      <w:r>
        <w:t xml:space="preserve"> </w:t>
      </w:r>
      <w:r>
        <w:t xml:space="preserve">the FAA, AARO, or other agencies about the event.</w:t>
      </w:r>
    </w:p>
    <w:p>
      <w:pPr>
        <w:pStyle w:val="BodyText"/>
      </w:pPr>
      <w:r>
        <w:rPr>
          <w:bCs/>
          <w:b/>
        </w:rPr>
        <w:t xml:space="preserve">5. No retaliation.</w:t>
      </w:r>
      <w:r>
        <w:t xml:space="preserve"> </w:t>
      </w:r>
      <w:r>
        <w:t xml:space="preserve">Please confirm that no further action will be taken against [Employee] because of the report,</w:t>
      </w:r>
      <w:r>
        <w:t xml:space="preserve"> </w:t>
      </w:r>
      <w:r>
        <w:t xml:space="preserve">and that [Employee] will be returned to the schedule [by (date)].</w:t>
      </w:r>
    </w:p>
    <w:p>
      <w:pPr>
        <w:pStyle w:val="BodyText"/>
      </w:pPr>
      <w:r>
        <w:t xml:space="preserve">[Employee] reserves all rights, including the right to file a complaint with the Secretary of Labor under §42121(b)</w:t>
      </w:r>
      <w:r>
        <w:t xml:space="preserve"> </w:t>
      </w:r>
      <w:r>
        <w:t xml:space="preserve">and to grieve under the collective bargaining agreement.</w:t>
      </w:r>
    </w:p>
    <w:p>
      <w:pPr>
        <w:pStyle w:val="BodyText"/>
      </w:pPr>
      <w:r>
        <w:t xml:space="preserve">Sincerely,</w:t>
      </w:r>
      <w:r>
        <w:br/>
      </w:r>
      <w:r>
        <w:t xml:space="preserve">[Counsel]</w:t>
      </w:r>
    </w:p>
    <w:p>
      <w:pPr>
        <w:pStyle w:val="BodyText"/>
        <w:spacing w:lineRule="exact" w:line="40" w:before="0" w:after="0"/>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pPr>
    </w:p>
    <w:bookmarkStart w:id="22" w:name="drafting-notes"/>
    <w:p>
      <w:pPr>
        <w:pStyle w:val="Heading2"/>
      </w:pPr>
      <w:r>
        <w:t xml:space="preserve">Drafting notes</w:t>
      </w:r>
    </w:p>
    <w:p>
      <w:pPr>
        <w:pStyle w:val="Compact"/>
        <w:numPr>
          <w:ilvl w:val="0"/>
          <w:numId w:val="1001"/>
        </w:numPr>
      </w:pPr>
      <w:r>
        <w:rPr>
          <w:bCs/>
          <w:b/>
        </w:rPr>
        <w:t xml:space="preserve">File with OSHA on time.</w:t>
      </w:r>
      <w:r>
        <w:t xml:space="preserve"> </w:t>
      </w:r>
      <w:r>
        <w:t xml:space="preserve">Do not wait for the carrier’s answer. If an adverse action has occurred, the 90-day</w:t>
      </w:r>
      <w:r>
        <w:t xml:space="preserve"> </w:t>
      </w:r>
      <w:r>
        <w:t xml:space="preserve">period is running.</w:t>
      </w:r>
    </w:p>
    <w:p>
      <w:pPr>
        <w:pStyle w:val="Compact"/>
        <w:numPr>
          <w:ilvl w:val="0"/>
          <w:numId w:val="1001"/>
        </w:numPr>
      </w:pPr>
      <w:r>
        <w:rPr>
          <w:bCs/>
          <w:b/>
        </w:rPr>
        <w:t xml:space="preserve">The union.</w:t>
      </w:r>
      <w:r>
        <w:t xml:space="preserve"> </w:t>
      </w:r>
      <w:r>
        <w:t xml:space="preserve">A grievance under the collective bargaining agreement runs separately under the Railway Labor Act</w:t>
      </w:r>
      <w:r>
        <w:t xml:space="preserve"> </w:t>
      </w:r>
      <w:r>
        <w:t xml:space="preserve">(45 U.S.C. §184). Coordinate with the union’s representative before sending.</w:t>
      </w:r>
    </w:p>
    <w:p>
      <w:pPr>
        <w:pStyle w:val="Compact"/>
        <w:numPr>
          <w:ilvl w:val="0"/>
          <w:numId w:val="1001"/>
        </w:numPr>
      </w:pPr>
      <w:r>
        <w:rPr>
          <w:bCs/>
          <w:b/>
        </w:rPr>
        <w:t xml:space="preserve">ASRS.</w:t>
      </w:r>
      <w:r>
        <w:t xml:space="preserve"> </w:t>
      </w:r>
      <w:r>
        <w:t xml:space="preserve">If the event involved any deviation from a clearance, confirm that an ASRS report was filed within 10</w:t>
      </w:r>
      <w:r>
        <w:t xml:space="preserve"> </w:t>
      </w:r>
      <w:r>
        <w:t xml:space="preserve">days (AC 00-46F ¶12.3.4).</w:t>
      </w:r>
    </w:p>
    <w:p>
      <w:pPr>
        <w:pStyle w:val="Compact"/>
        <w:numPr>
          <w:ilvl w:val="0"/>
          <w:numId w:val="1001"/>
        </w:numPr>
      </w:pPr>
      <w:r>
        <w:rPr>
          <w:bCs/>
          <w:b/>
        </w:rPr>
        <w:t xml:space="preserve">FAA letters.</w:t>
      </w:r>
      <w:r>
        <w:t xml:space="preserve"> </w:t>
      </w:r>
      <w:r>
        <w:t xml:space="preserve">If the FAA has also sent a letter of investigation, do not respond without counsel; a response is</w:t>
      </w:r>
      <w:r>
        <w:t xml:space="preserve"> </w:t>
      </w:r>
      <w:r>
        <w:t xml:space="preserve">optional and may be used as evidence (Pilot’s Bill of Rights §2(b)).</w:t>
      </w:r>
    </w:p>
    <w:p>
      <w:pPr>
        <w:pStyle w:val="Compact"/>
        <w:numPr>
          <w:ilvl w:val="0"/>
          <w:numId w:val="1001"/>
        </w:numPr>
      </w:pPr>
      <w:r>
        <w:rPr>
          <w:bCs/>
          <w:b/>
        </w:rPr>
        <w:t xml:space="preserve">Describe, do not characterize.</w:t>
      </w:r>
      <w:r>
        <w:t xml:space="preserve"> </w:t>
      </w:r>
      <w:r>
        <w:t xml:space="preserve">Paragraph 1 should describe what was seen in the crew’s words. Do not call the</w:t>
      </w:r>
      <w:r>
        <w:t xml:space="preserve"> </w:t>
      </w:r>
      <w:r>
        <w:t xml:space="preserve">object a craft or attribute it to anyone.</w:t>
      </w:r>
    </w:p>
    <w:p>
      <w:pPr>
        <w:pStyle w:val="Compact"/>
        <w:numPr>
          <w:ilvl w:val="0"/>
          <w:numId w:val="1001"/>
        </w:numPr>
      </w:pPr>
      <w:r>
        <w:rPr>
          <w:bCs/>
          <w:b/>
        </w:rPr>
        <w:t xml:space="preserve">Paragraph 3 and the evaluation.</w:t>
      </w:r>
      <w:r>
        <w:t xml:space="preserve"> </w:t>
      </w:r>
      <w:r>
        <w:t xml:space="preserve">A compulsory evaluation under the pilots’ contract is not retaliation in</w:t>
      </w:r>
      <w:r>
        <w:t xml:space="preserve"> </w:t>
      </w:r>
      <w:r>
        <w:t xml:space="preserve">itself, but becomes an adverse action when it is pretextual or in bad faith; the length of the process and the</w:t>
      </w:r>
      <w:r>
        <w:t xml:space="preserve"> </w:t>
      </w:r>
      <w:r>
        <w:t xml:space="preserve">treatment of other pilots are the main evidence.</w:t>
      </w:r>
      <w:r>
        <w:t xml:space="preserve"> </w:t>
      </w:r>
      <w:r>
        <w:rPr>
          <w:iCs/>
          <w:i/>
        </w:rPr>
        <w:t xml:space="preserve">Petitt v. Delta Airlines, Inc.</w:t>
      </w:r>
      <w:r>
        <w:t xml:space="preserve">, ARB No. 2021-0014, 2022 WL</w:t>
      </w:r>
      <w:r>
        <w:t xml:space="preserve"> </w:t>
      </w:r>
      <w:r>
        <w:t xml:space="preserve">1091413, at *9-11 (ARB Mar. 29, 2022). Ask for the carrier’s referral criteria and for how often it has referred</w:t>
      </w:r>
      <w:r>
        <w:t xml:space="preserve"> </w:t>
      </w:r>
      <w:r>
        <w:t xml:space="preserve">other pilots who made safety reports.</w:t>
      </w:r>
    </w:p>
    <w:p>
      <w:pPr>
        <w:pStyle w:val="Compact"/>
        <w:numPr>
          <w:ilvl w:val="0"/>
          <w:numId w:val="1001"/>
        </w:numPr>
      </w:pPr>
      <w:r>
        <w:rPr>
          <w:bCs/>
          <w:b/>
        </w:rPr>
        <w:t xml:space="preserve">The employee’s own conduct.</w:t>
      </w:r>
      <w:r>
        <w:t xml:space="preserve"> </w:t>
      </w:r>
      <w:r>
        <w:t xml:space="preserve">A carrier wins when it can point to the employee’s later conduct as the reason</w:t>
      </w:r>
      <w:r>
        <w:t xml:space="preserve"> </w:t>
      </w:r>
      <w:r>
        <w:t xml:space="preserve">for the referral.</w:t>
      </w:r>
      <w:r>
        <w:t xml:space="preserve"> </w:t>
      </w:r>
      <w:r>
        <w:rPr>
          <w:iCs/>
          <w:i/>
        </w:rPr>
        <w:t xml:space="preserve">Robinson v. Northwest Airlines, Inc.</w:t>
      </w:r>
      <w:r>
        <w:t xml:space="preserve">, ARB No. 04-041, 2005 WL 3263822 (ARB Nov. 30, 2005).</w:t>
      </w:r>
      <w:r>
        <w:t xml:space="preserve"> </w:t>
      </w:r>
      <w:r>
        <w:t xml:space="preserve">Advise the client to keep every later statement about the event, to the carrier and in public, factual.</w:t>
      </w:r>
    </w:p>
    <w:p>
      <w:pPr>
        <w:pStyle w:val="Compact"/>
        <w:numPr>
          <w:ilvl w:val="0"/>
          <w:numId w:val="1001"/>
        </w:numPr>
      </w:pPr>
      <w:r>
        <w:rPr>
          <w:bCs/>
          <w:b/>
        </w:rPr>
        <w:t xml:space="preserve">Manual entries.</w:t>
      </w:r>
      <w:r>
        <w:t xml:space="preserve"> </w:t>
      </w:r>
      <w:r>
        <w:t xml:space="preserve">If the carrier’s manual required the report or logbook entry, say so in paragraph 1; an entry</w:t>
      </w:r>
      <w:r>
        <w:t xml:space="preserve"> </w:t>
      </w:r>
      <w:r>
        <w:t xml:space="preserve">the manual requires is protected activity.</w:t>
      </w:r>
      <w:r>
        <w:t xml:space="preserve"> </w:t>
      </w:r>
      <w:r>
        <w:rPr>
          <w:iCs/>
          <w:i/>
        </w:rPr>
        <w:t xml:space="preserve">Continental Airlines, Inc. v. Administrative Review Board</w:t>
      </w:r>
      <w:r>
        <w:t xml:space="preserve">, 638 F.</w:t>
      </w:r>
      <w:r>
        <w:t xml:space="preserve"> </w:t>
      </w:r>
      <w:r>
        <w:t xml:space="preserve">App’x 283, 287-89 (5th Cir. 2016).</w:t>
      </w:r>
    </w:p>
    <w:p>
      <w:pPr>
        <w:pStyle w:val="Compact"/>
        <w:numPr>
          <w:ilvl w:val="0"/>
          <w:numId w:val="1001"/>
        </w:numPr>
      </w:pPr>
      <w:r>
        <w:t xml:space="preserve">Related:</w:t>
      </w:r>
      <w:r>
        <w:t xml:space="preserve"> </w:t>
      </w:r>
      <w:hyperlink r:id="rId20">
        <w:r>
          <w:rPr>
            <w:rStyle w:val="Hyperlink"/>
          </w:rPr>
          <w:t xml:space="preserve">Issue D7</w:t>
        </w:r>
      </w:hyperlink>
      <w:r>
        <w:t xml:space="preserve">, D4, E5; Forms D4-1, E5-2.</w:t>
      </w:r>
    </w:p>
    <w:bookmarkEnd w:id="22"/>
    <w:bookmarkEnd w:id="23"/>
    <w:sectPr>
      <w:headerReference w:type="default" r:id="rId15"/>
      <w:footerReference w:type="default" r:id="rId16"/>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1" Type="http://schemas.openxmlformats.org/officeDocument/2006/relationships/hyperlink" Target="https://nhilaw.com/issues/c1.html" TargetMode="External"/><Relationship Id="rId20" Type="http://schemas.openxmlformats.org/officeDocument/2006/relationships/hyperlink" Target="https://nhilaw.com/issues/d7.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header" Target="header4.xml"/><Relationship Id="rId16" Type="http://schemas.openxmlformats.org/officeDocument/2006/relationships/footer" Target="footer4.xml"/></Relationships>
</file>

<file path=word/_rels/footnotes.xml.rels><?xml version='1.0' encoding='UTF-8' standalone='yes'?>
<Relationships xmlns="http://schemas.openxmlformats.org/package/2006/relationships"><Relationship Id="rId21" Type="http://schemas.openxmlformats.org/officeDocument/2006/relationships/hyperlink" Target="https://nhilaw.com/issues/c1.html" TargetMode="External"/><Relationship Id="rId20" Type="http://schemas.openxmlformats.org/officeDocument/2006/relationships/hyperlink" Target="https://nhilaw.com/issues/d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D7-1. Pilot's Letter to an Air Carrier After a UAP Report: Protected Activity and Preservation</dc:title>
  <dc:creator>nhilaw.com</dc:creator>
  <cp:keywords/>
  <dcterms:created xsi:type="dcterms:W3CDTF">2026-10-19T03:13:54Z</dcterms:created>
  <dcterms:modified xsi:type="dcterms:W3CDTF">2026-10-19T03:13:54Z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