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Pilots and Aircrew Who Report UAP: Reporting, Retaliation, Medical Certification, and Insurance</w:t>
      </w:r>
    </w:p>
    <w:p>
      <w:pPr>
        <w:pStyle w:val="Subtitle"/>
      </w:pPr>
      <w:r>
        <w:t xml:space="preserve">Version 1.10 · October 2026 · nhilaw.com/issues/d7.html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1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Civil aviation reporting now runs from the pilot to air traffic control and from the facility to FAA security coordinators and AARO (JO 7110.65 ¶9-8-1; JO 7210.3 ¶4-7-4). Nothing in those rules protects the pilot who reports.</w:t>
      </w:r>
    </w:p>
    <w:p>
      <w:pPr>
        <w:pStyle w:val="Compact"/>
        <w:numPr>
          <w:ilvl w:val="0"/>
          <w:numId w:val="1001"/>
        </w:numPr>
      </w:pPr>
      <w:r>
        <w:t xml:space="preserve">An air carrier employee disciplined for reporting a safety hazard has an AIR21 claim, 49 U.S.C. §42121, but the complaint must reach OSHA within 90 days. File a union grievance in parallel where a collective bargaining agreement applies.</w:t>
      </w:r>
    </w:p>
    <w:p>
      <w:pPr>
        <w:pStyle w:val="Compact"/>
        <w:numPr>
          <w:ilvl w:val="0"/>
          <w:numId w:val="1001"/>
        </w:numPr>
      </w:pPr>
      <w:r>
        <w:t xml:space="preserve">A psychiatric referral after a safety report can itself be the retaliation: the Department of Labor’s Review Board held a carrier liable for a bad-faith fitness-for-duty referral that kept a pilot off the flight deck for 21 months (</w:t>
      </w:r>
      <w:r>
        <w:rPr>
          <w:iCs/>
          <w:i/>
        </w:rPr>
        <w:t xml:space="preserve">Petitt v. Delta</w:t>
      </w:r>
      <w:r>
        <w:t xml:space="preserve">, ARB 2022).</w:t>
      </w:r>
    </w:p>
    <w:p>
      <w:pPr>
        <w:pStyle w:val="Compact"/>
        <w:numPr>
          <w:ilvl w:val="0"/>
          <w:numId w:val="1001"/>
        </w:numPr>
      </w:pPr>
      <w:r>
        <w:t xml:space="preserve">The medical standards are the real risk. A first-class certificate requires no history of</w:t>
      </w:r>
      <w:r>
        <w:t xml:space="preserve"> </w:t>
      </w:r>
      <w:r>
        <w:t xml:space="preserve">“</w:t>
      </w:r>
      <w:r>
        <w:t xml:space="preserve">psychosis,</w:t>
      </w:r>
      <w:r>
        <w:t xml:space="preserve">”</w:t>
      </w:r>
      <w:r>
        <w:t xml:space="preserve"> </w:t>
      </w:r>
      <w:r>
        <w:t xml:space="preserve">defined to include</w:t>
      </w:r>
      <w:r>
        <w:t xml:space="preserve"> </w:t>
      </w:r>
      <w:r>
        <w:t xml:space="preserve">“</w:t>
      </w:r>
      <w:r>
        <w:t xml:space="preserve">hallucinations</w:t>
      </w:r>
      <w:r>
        <w:t xml:space="preserve">”</w:t>
      </w:r>
      <w:r>
        <w:t xml:space="preserve"> </w:t>
      </w:r>
      <w:r>
        <w:t xml:space="preserve">(14 C.F.R. §67.107(a)(2)). A report of an object seen by a stable pilot is an observation; counsel’s job is to keep it from being recast as a symptom.</w:t>
      </w:r>
    </w:p>
    <w:p>
      <w:pPr>
        <w:pStyle w:val="Compact"/>
        <w:numPr>
          <w:ilvl w:val="0"/>
          <w:numId w:val="1001"/>
        </w:numPr>
      </w:pPr>
      <w:r>
        <w:t xml:space="preserve">A pilot who receives an FAA letter of investigation need not answer it, and anything said may be used as evidence (Pilot’s Bill of Rights §2(b)). Talk to counsel before responding.</w:t>
      </w:r>
    </w:p>
    <w:p>
      <w:pPr>
        <w:pStyle w:val="Compact"/>
        <w:numPr>
          <w:ilvl w:val="0"/>
          <w:numId w:val="1001"/>
        </w:numPr>
      </w:pPr>
      <w:r>
        <w:t xml:space="preserve">A NASA ASRS report filed within 10 days protects against FAA sanctions for inadvertent violations connected to the event (AC 00-46F ¶12.3), and it is a useful second record of the observation.</w:t>
      </w:r>
    </w:p>
    <w:p>
      <w:pPr>
        <w:pStyle w:val="Compact"/>
        <w:numPr>
          <w:ilvl w:val="0"/>
          <w:numId w:val="1001"/>
        </w:numPr>
      </w:pPr>
      <w:r>
        <w:t xml:space="preserve">On the site’s premise that AARO is part of the concealment, reports routed to AARO should be paired with a report the pilot controls: the ASRS report, the airline’s safety program, and the pilot’s own contemporaneous notes.</w:t>
      </w:r>
    </w:p>
    <w:p>
      <w:r>
        <w:pict>
          <v:rect style="width:0;height:1.5pt" o:hralign="center" o:hrstd="t" o:hr="t"/>
        </w:pict>
      </w:r>
    </w:p>
    <w:bookmarkEnd w:id="21"/>
    <w:bookmarkStart w:id="24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Commercial and military pilots are the most credible UAP witnesses the public has, and they are the witnesses with</w:t>
      </w:r>
      <w:r>
        <w:t xml:space="preserve"> </w:t>
      </w:r>
      <w:r>
        <w:t xml:space="preserve">the most to lose. A pilot’s career depends on a medical certificate, an employer’s confidence, and a clean record</w:t>
      </w:r>
      <w:r>
        <w:t xml:space="preserve"> </w:t>
      </w:r>
      <w:r>
        <w:t xml:space="preserve">with the FAA. Each can be put at risk by a report. This analysis covers how reports move through the system, the</w:t>
      </w:r>
      <w:r>
        <w:t xml:space="preserve"> </w:t>
      </w:r>
      <w:r>
        <w:t xml:space="preserve">protections available to pilots who report, the medical certification rules, airline and military procedures, and</w:t>
      </w:r>
      <w:r>
        <w:t xml:space="preserve"> </w:t>
      </w:r>
      <w:r>
        <w:t xml:space="preserve">insurance.</w:t>
      </w:r>
      <w:r>
        <w:t xml:space="preserve"> </w:t>
      </w:r>
      <w:hyperlink r:id="rId22">
        <w:r>
          <w:rPr>
            <w:rStyle w:val="Hyperlink"/>
          </w:rPr>
          <w:t xml:space="preserve">Issue D4</w:t>
        </w:r>
      </w:hyperlink>
      <w:r>
        <w:t xml:space="preserve"> </w:t>
      </w:r>
      <w:r>
        <w:t xml:space="preserve">covers the government’s duties to warn aviation and FTCA liability;</w:t>
      </w:r>
      <w:r>
        <w:t xml:space="preserve"> </w:t>
      </w:r>
      <w:hyperlink r:id="rId23">
        <w:r>
          <w:rPr>
            <w:rStyle w:val="Hyperlink"/>
          </w:rPr>
          <w:t xml:space="preserve">Issue E5</w:t>
        </w:r>
      </w:hyperlink>
      <w:r>
        <w:t xml:space="preserve"> </w:t>
      </w:r>
      <w:r>
        <w:t xml:space="preserve">covers aviation</w:t>
      </w:r>
      <w:r>
        <w:t xml:space="preserve"> </w:t>
      </w:r>
      <w:r>
        <w:t xml:space="preserve">insurance coverage for losses.</w:t>
      </w:r>
    </w:p>
    <w:p>
      <w:r>
        <w:pict>
          <v:rect style="width:0;height:1.5pt" o:hralign="center" o:hrstd="t" o:hr="t"/>
        </w:pict>
      </w:r>
    </w:p>
    <w:bookmarkEnd w:id="24"/>
    <w:bookmarkStart w:id="25" w:name="where-a-pilots-report-goes"/>
    <w:p>
      <w:pPr>
        <w:pStyle w:val="Heading2"/>
      </w:pPr>
      <w:r>
        <w:t xml:space="preserve">2. Where a pilot’s report goes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To air traffic control.</w:t>
      </w:r>
      <w:r>
        <w:t xml:space="preserve"> </w:t>
      </w:r>
      <w:r>
        <w:t xml:space="preserve">Controllers must</w:t>
      </w:r>
      <w:r>
        <w:t xml:space="preserve"> </w:t>
      </w:r>
      <w:r>
        <w:t xml:space="preserve">“</w:t>
      </w:r>
      <w:r>
        <w:t xml:space="preserve">[i]nform the operations supervisor/CIC of any reported or observed</w:t>
      </w:r>
      <w:r>
        <w:t xml:space="preserve"> </w:t>
      </w:r>
      <w:r>
        <w:t xml:space="preserve">unidentified anomalous phenomena (UAP)/unexplained phenomena activity</w:t>
      </w:r>
      <w:r>
        <w:t xml:space="preserve">”</w:t>
      </w:r>
      <w:r>
        <w:t xml:space="preserve"> </w:t>
      </w:r>
      <w:r>
        <w:t xml:space="preserve">(FAA Order JO 7110.65BB ¶9-8-1, Change 2,</w:t>
      </w:r>
      <w:r>
        <w:t xml:space="preserve"> </w:t>
      </w:r>
      <w:r>
        <w:t xml:space="preserve">effective Jan. 22, 2026), and facilities must report pilot reports and controller observations to the National</w:t>
      </w:r>
      <w:r>
        <w:t xml:space="preserve"> </w:t>
      </w:r>
      <w:r>
        <w:t xml:space="preserve">Tactical Security Operations Air Traffic Security Coordinator on the Domestic Events Network, with the aircraft’s</w:t>
      </w:r>
      <w:r>
        <w:t xml:space="preserve"> </w:t>
      </w:r>
      <w:r>
        <w:t xml:space="preserve">call sign and position and whether the object appeared on radar (JO 7210.3EE ¶4-7-4) (</w:t>
      </w:r>
      <w:hyperlink r:id="rId22">
        <w:r>
          <w:rPr>
            <w:rStyle w:val="Hyperlink"/>
          </w:rPr>
          <w:t xml:space="preserve">Issue D4</w:t>
        </w:r>
      </w:hyperlink>
      <w:r>
        <w:t xml:space="preserve"> </w:t>
      </w:r>
      <w:r>
        <w:t xml:space="preserve">§2).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To AARO.</w:t>
      </w:r>
      <w:r>
        <w:t xml:space="preserve"> </w:t>
      </w:r>
      <w:r>
        <w:t xml:space="preserve">The FAA’s security office forwards reports to AARO, and AARO accepts reports directly from</w:t>
      </w:r>
      <w:r>
        <w:t xml:space="preserve"> </w:t>
      </w:r>
      <w:r>
        <w:t xml:space="preserve">current and former government employees, service members, and contractors (50 U.S.C. §3373b). Civilian pilots</w:t>
      </w:r>
      <w:r>
        <w:t xml:space="preserve"> </w:t>
      </w:r>
      <w:r>
        <w:t xml:space="preserve">may also report through AARO’s public form.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To the airline.</w:t>
      </w:r>
      <w:r>
        <w:t xml:space="preserve"> </w:t>
      </w:r>
      <w:r>
        <w:t xml:space="preserve">Most air carriers run an Aviation Safety Action Program and a company safety reporting</w:t>
      </w:r>
      <w:r>
        <w:t xml:space="preserve"> </w:t>
      </w:r>
      <w:r>
        <w:t xml:space="preserve">system. A report through the company program is usually required by company policy for any event affecting</w:t>
      </w:r>
      <w:r>
        <w:t xml:space="preserve"> </w:t>
      </w:r>
      <w:r>
        <w:t xml:space="preserve">safety of flight.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To NASA.</w:t>
      </w:r>
      <w:r>
        <w:t xml:space="preserve"> </w:t>
      </w:r>
      <w:r>
        <w:t xml:space="preserve">The Aviation Safety Reporting System is run by NASA, independent of the FAA, and the FAA</w:t>
      </w:r>
      <w:r>
        <w:t xml:space="preserve"> </w:t>
      </w:r>
      <w:r>
        <w:t xml:space="preserve">“</w:t>
      </w:r>
      <w:r>
        <w:t xml:space="preserve">will not</w:t>
      </w:r>
      <w:r>
        <w:t xml:space="preserve"> </w:t>
      </w:r>
      <w:r>
        <w:t xml:space="preserve">use reports submitted to [NASA] … in any enforcement action except information concerning accidents or criminal</w:t>
      </w:r>
      <w:r>
        <w:t xml:space="preserve"> </w:t>
      </w:r>
      <w:r>
        <w:t xml:space="preserve">offenses</w:t>
      </w:r>
      <w:r>
        <w:t xml:space="preserve">”</w:t>
      </w:r>
      <w:r>
        <w:t xml:space="preserve"> </w:t>
      </w:r>
      <w:r>
        <w:t xml:space="preserve">(14 C.F.R. §91.25).</w:t>
      </w:r>
    </w:p>
    <w:p>
      <w:pPr>
        <w:pStyle w:val="FirstParagraph"/>
      </w:pPr>
      <w:r>
        <w:rPr>
          <w:bCs/>
          <w:b/>
        </w:rPr>
        <w:t xml:space="preserve">What the rules do not do.</w:t>
      </w:r>
      <w:r>
        <w:t xml:space="preserve"> </w:t>
      </w:r>
      <w:r>
        <w:t xml:space="preserve">None of the reporting rules gives the reporting pilot a right to see what happens to</w:t>
      </w:r>
      <w:r>
        <w:t xml:space="preserve"> </w:t>
      </w:r>
      <w:r>
        <w:t xml:space="preserve">the report, protects the pilot from employer action, or requires anyone to warn other aircraft (</w:t>
      </w:r>
      <w:hyperlink r:id="rId22">
        <w:r>
          <w:rPr>
            <w:rStyle w:val="Hyperlink"/>
          </w:rPr>
          <w:t xml:space="preserve">Issue D4</w:t>
        </w:r>
      </w:hyperlink>
      <w:r>
        <w:t xml:space="preserve"> </w:t>
      </w:r>
      <w:r>
        <w:t xml:space="preserve">§2.3). The</w:t>
      </w:r>
      <w:r>
        <w:t xml:space="preserve"> </w:t>
      </w:r>
      <w:r>
        <w:t xml:space="preserve">pending Safe Airspace for Americans Act (H.R. 5231, 119th Cong.) would bar use of UAP reports in enforcement except</w:t>
      </w:r>
      <w:r>
        <w:t xml:space="preserve"> </w:t>
      </w:r>
      <w:r>
        <w:t xml:space="preserve">for accidents or crimes, bar their consideration in medical and competency certification, and prohibit reprisal by</w:t>
      </w:r>
      <w:r>
        <w:t xml:space="preserve"> </w:t>
      </w:r>
      <w:r>
        <w:t xml:space="preserve">agencies, contractors, and air carriers (§2(d), (g)-(j)). As of October 2026 it had no recorded action beyond added</w:t>
      </w:r>
      <w:r>
        <w:t xml:space="preserve"> </w:t>
      </w:r>
      <w:r>
        <w:t xml:space="preserve">cosponsors.</w:t>
      </w:r>
    </w:p>
    <w:p>
      <w:r>
        <w:pict>
          <v:rect style="width:0;height:1.5pt" o:hralign="center" o:hrstd="t" o:hr="t"/>
        </w:pict>
      </w:r>
    </w:p>
    <w:bookmarkEnd w:id="25"/>
    <w:bookmarkStart w:id="31" w:name="protection-against-retaliation"/>
    <w:p>
      <w:pPr>
        <w:pStyle w:val="Heading2"/>
      </w:pPr>
      <w:r>
        <w:t xml:space="preserve">3. Protection against retaliation</w:t>
      </w:r>
    </w:p>
    <w:bookmarkStart w:id="27" w:name="air21"/>
    <w:p>
      <w:pPr>
        <w:pStyle w:val="Heading3"/>
      </w:pPr>
      <w:r>
        <w:t xml:space="preserve">3.1 AIR21</w:t>
      </w:r>
    </w:p>
    <w:p>
      <w:pPr>
        <w:pStyle w:val="FirstParagraph"/>
      </w:pPr>
      <w:r>
        <w:t xml:space="preserve">AIR21 forbids an air carrier, contractor, or subcontractor to discharge or discriminate against an employee who</w:t>
      </w:r>
      <w:r>
        <w:t xml:space="preserve"> </w:t>
      </w:r>
      <w:r>
        <w:t xml:space="preserve">provides information about a violation or alleged violation of an FAA order, regulation, or standard, or any other</w:t>
      </w:r>
      <w:r>
        <w:t xml:space="preserve"> </w:t>
      </w:r>
      <w:r>
        <w:t xml:space="preserve">federal law relating to air carrier safety (49 U.S.C. §42121(a)). A report of an object near the aircraft that</w:t>
      </w:r>
      <w:r>
        <w:t xml:space="preserve"> </w:t>
      </w:r>
      <w:r>
        <w:t xml:space="preserve">posed a collision risk, or a report made under the FAA’s own procedures, fits the statute. The employee need not</w:t>
      </w:r>
      <w:r>
        <w:t xml:space="preserve"> </w:t>
      </w:r>
      <w:r>
        <w:t xml:space="preserve">prove an actual violation; the belief that one occurred must be held in good faith and be objectively reasonable</w:t>
      </w:r>
      <w:r>
        <w:t xml:space="preserve"> </w:t>
      </w:r>
      <w:r>
        <w:t xml:space="preserve">for a person with the same training and experience, and the information need not relate</w:t>
      </w:r>
      <w:r>
        <w:t xml:space="preserve"> </w:t>
      </w:r>
      <w:r>
        <w:t xml:space="preserve">“</w:t>
      </w:r>
      <w:r>
        <w:t xml:space="preserve">definitively and</w:t>
      </w:r>
      <w:r>
        <w:t xml:space="preserve"> </w:t>
      </w:r>
      <w:r>
        <w:t xml:space="preserve">specifically</w:t>
      </w:r>
      <w:r>
        <w:t xml:space="preserve">”</w:t>
      </w:r>
      <w:r>
        <w:t xml:space="preserve"> </w:t>
      </w:r>
      <w:r>
        <w:t xml:space="preserve">to a safety rule.</w:t>
      </w:r>
      <w:r>
        <w:t xml:space="preserve"> </w:t>
      </w:r>
      <w:r>
        <w:rPr>
          <w:iCs/>
          <w:i/>
        </w:rPr>
        <w:t xml:space="preserve">Petitt v. Delta Airlines, Inc.</w:t>
      </w:r>
      <w:r>
        <w:t xml:space="preserve">, ARB No. 2021-0014, 2022 WL 1091413, at</w:t>
      </w:r>
      <w:r>
        <w:t xml:space="preserve"> </w:t>
      </w:r>
      <w:r>
        <w:rPr>
          <w:iCs/>
          <w:i/>
        </w:rPr>
        <w:t xml:space="preserve">8 (ARB</w:t>
      </w:r>
      <w:r>
        <w:rPr>
          <w:iCs/>
          <w:i/>
        </w:rPr>
        <w:t xml:space="preserve"> </w:t>
      </w:r>
      <w:r>
        <w:rPr>
          <w:iCs/>
          <w:i/>
        </w:rPr>
        <w:t xml:space="preserve">Mar. 29, 2022). Making an entry the carrier’s manual requires is a strong form of protected activity, because</w:t>
      </w:r>
      <w:r>
        <w:rPr>
          <w:iCs/>
          <w:i/>
        </w:rPr>
        <w:t xml:space="preserve"> </w:t>
      </w:r>
      <w:r>
        <w:rPr>
          <w:iCs/>
          <w:i/>
        </w:rPr>
        <w:t xml:space="preserve">14 C.F.R. §91.9 obliges the pilot to follow the manual: a captain who logged severe turbulence reported by an</w:t>
      </w:r>
      <w:r>
        <w:rPr>
          <w:iCs/>
          <w:i/>
        </w:rPr>
        <w:t xml:space="preserve"> </w:t>
      </w:r>
      <w:r>
        <w:rPr>
          <w:iCs/>
          <w:i/>
        </w:rPr>
        <w:t xml:space="preserve">earlier crew, which grounded the aircraft for inspection, was protected, and his suspension was retaliation.</w:t>
      </w:r>
      <w:r>
        <w:rPr>
          <w:iCs/>
          <w:i/>
        </w:rPr>
        <w:t xml:space="preserve"> </w:t>
      </w:r>
      <w:r>
        <w:t xml:space="preserve">Continental Airlines, Inc. v. Administrative Review Board*, 638 F. App’x 283, 287-89 (5th Cir. 2016). A UAP report</w:t>
      </w:r>
      <w:r>
        <w:t xml:space="preserve"> </w:t>
      </w:r>
      <w:r>
        <w:t xml:space="preserve">logged or filed under the carrier’s flight operations manual and FAA Order JO 7110.65 ¶9-8-1 rests on the same</w:t>
      </w:r>
      <w:r>
        <w:t xml:space="preserve"> </w:t>
      </w:r>
      <w:r>
        <w:t xml:space="preserve">footing.</w:t>
      </w:r>
    </w:p>
    <w:p>
      <w:pPr>
        <w:pStyle w:val="BodyText"/>
      </w:pPr>
      <w:r>
        <w:rPr>
          <w:bCs/>
          <w:b/>
        </w:rPr>
        <w:t xml:space="preserve">Psychiatric referral as retaliation.</w:t>
      </w:r>
      <w:r>
        <w:t xml:space="preserve"> </w:t>
      </w:r>
      <w:r>
        <w:t xml:space="preserve">The decision that matters most for a pilot who reports a UAP is</w:t>
      </w:r>
      <w:r>
        <w:t xml:space="preserve"> </w:t>
      </w:r>
      <w:r>
        <w:rPr>
          <w:iCs/>
          <w:i/>
        </w:rPr>
        <w:t xml:space="preserve">Petitt</w:t>
      </w:r>
      <w:r>
        <w:t xml:space="preserve">.</w:t>
      </w:r>
      <w:r>
        <w:t xml:space="preserve"> </w:t>
      </w:r>
      <w:r>
        <w:t xml:space="preserve">Delta referred a first officer for a psychiatric evaluation under the pilots’ contract shortly after she raised</w:t>
      </w:r>
      <w:r>
        <w:t xml:space="preserve"> </w:t>
      </w:r>
      <w:r>
        <w:t xml:space="preserve">safety concerns, and she was kept off the flight deck for 21 months before an evaluator cleared her. The Board held</w:t>
      </w:r>
      <w:r>
        <w:t xml:space="preserve"> </w:t>
      </w:r>
      <w:r>
        <w:t xml:space="preserve">that a compulsory medical evaluation under a collectively bargained procedure is not in itself retaliation, but</w:t>
      </w:r>
      <w:r>
        <w:t xml:space="preserve"> </w:t>
      </w:r>
      <w:r>
        <w:t xml:space="preserve">becomes an adverse action when it is</w:t>
      </w:r>
      <w:r>
        <w:t xml:space="preserve"> </w:t>
      </w:r>
      <w:r>
        <w:t xml:space="preserve">“</w:t>
      </w:r>
      <w:r>
        <w:t xml:space="preserve">retaliatory, a pretext, performed in bad faith, or otherwise constitutes</w:t>
      </w:r>
      <w:r>
        <w:t xml:space="preserve"> </w:t>
      </w:r>
      <w:r>
        <w:t xml:space="preserve">harassment,</w:t>
      </w:r>
      <w:r>
        <w:t xml:space="preserve">”</w:t>
      </w:r>
      <w:r>
        <w:t xml:space="preserve"> </w:t>
      </w:r>
      <w:r>
        <w:t xml:space="preserve">judged case by case by the length of the process, whether it was routine, and whether similarly placed</w:t>
      </w:r>
      <w:r>
        <w:t xml:space="preserve"> </w:t>
      </w:r>
      <w:r>
        <w:t xml:space="preserve">pilots were treated the same way. It affirmed the finding of an adverse action and of liability, and held that the</w:t>
      </w:r>
      <w:r>
        <w:t xml:space="preserve"> </w:t>
      </w:r>
      <w:r>
        <w:t xml:space="preserve">Railway Labor Act did not displace the AIR21 claim because no contract term needed interpretation. 2022 WL 1091413,</w:t>
      </w:r>
      <w:r>
        <w:t xml:space="preserve"> </w:t>
      </w:r>
      <w:r>
        <w:t xml:space="preserve">at</w:t>
      </w:r>
      <w:r>
        <w:t xml:space="preserve"> </w:t>
      </w:r>
      <w:r>
        <w:rPr>
          <w:iCs/>
          <w:i/>
        </w:rPr>
        <w:t xml:space="preserve">6-11. The result runs the other way when the carrier has an independent reason. In</w:t>
      </w:r>
      <w:r>
        <w:rPr>
          <w:iCs/>
          <w:i/>
        </w:rPr>
        <w:t xml:space="preserve"> </w:t>
      </w:r>
      <w:r>
        <w:t xml:space="preserve">Robinson v. Northwest</w:t>
      </w:r>
      <w:r>
        <w:t xml:space="preserve"> </w:t>
      </w:r>
      <w:r>
        <w:t xml:space="preserve">Airlines, Inc.*, ARB No. 04-041, 2005 WL 3263822 (ARB Nov. 30, 2005), the Board accepted that a psychiatric</w:t>
      </w:r>
      <w:r>
        <w:t xml:space="preserve"> </w:t>
      </w:r>
      <w:r>
        <w:t xml:space="preserve">examination and removal from flying were adverse actions but denied the complaint because the pilot’s own later</w:t>
      </w:r>
      <w:r>
        <w:t xml:space="preserve"> </w:t>
      </w:r>
      <w:r>
        <w:t xml:space="preserve">conduct, not his earlier report to the FAA, explained the referral. The practical lesson is that the pilot’s</w:t>
      </w:r>
      <w:r>
        <w:t xml:space="preserve"> </w:t>
      </w:r>
      <w:r>
        <w:t xml:space="preserve">account of the event should stay factual and measured from the first report onward (</w:t>
      </w:r>
      <w:hyperlink r:id="rId26">
        <w:r>
          <w:rPr>
            <w:rStyle w:val="Hyperlink"/>
          </w:rPr>
          <w:t xml:space="preserve">Form D7-1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Proof.</w:t>
      </w:r>
      <w:r>
        <w:t xml:space="preserve"> </w:t>
      </w:r>
      <w:r>
        <w:t xml:space="preserve">A contributing factor is</w:t>
      </w:r>
      <w:r>
        <w:t xml:space="preserve"> </w:t>
      </w:r>
      <w:r>
        <w:t xml:space="preserve">“</w:t>
      </w:r>
      <w:r>
        <w:t xml:space="preserve">any factor, which alone or in combination with other factors, tends to affect</w:t>
      </w:r>
      <w:r>
        <w:t xml:space="preserve"> </w:t>
      </w:r>
      <w:r>
        <w:t xml:space="preserve">in any way the outcome of the decision,</w:t>
      </w:r>
      <w:r>
        <w:t xml:space="preserve">”</w:t>
      </w:r>
      <w:r>
        <w:t xml:space="preserve"> </w:t>
      </w:r>
      <w:r>
        <w:t xml:space="preserve">and close timing between the report and the action supports the</w:t>
      </w:r>
      <w:r>
        <w:t xml:space="preserve"> </w:t>
      </w:r>
      <w:r>
        <w:t xml:space="preserve">inference.</w:t>
      </w:r>
      <w:r>
        <w:t xml:space="preserve"> </w:t>
      </w:r>
      <w:r>
        <w:rPr>
          <w:iCs/>
          <w:i/>
        </w:rPr>
        <w:t xml:space="preserve">Ameristar Airways, Inc. v. Administrative Review Board</w:t>
      </w:r>
      <w:r>
        <w:t xml:space="preserve">, 650 F.3d 562, 566-67 (5th Cir. 2011). The</w:t>
      </w:r>
      <w:r>
        <w:t xml:space="preserve"> </w:t>
      </w:r>
      <w:r>
        <w:t xml:space="preserve">carrier’s defense, that it would have acted anyway, requires clear and convincing evidence; it succeeds where the</w:t>
      </w:r>
      <w:r>
        <w:t xml:space="preserve"> </w:t>
      </w:r>
      <w:r>
        <w:t xml:space="preserve">carrier applied a uniform, documented process to every candidate.</w:t>
      </w:r>
      <w:r>
        <w:t xml:space="preserve"> </w:t>
      </w:r>
      <w:r>
        <w:rPr>
          <w:iCs/>
          <w:i/>
        </w:rPr>
        <w:t xml:space="preserve">Hoffman v. Solis</w:t>
      </w:r>
      <w:r>
        <w:t xml:space="preserve">, 636 F.3d 262, 267-70 (6th</w:t>
      </w:r>
      <w:r>
        <w:t xml:space="preserve"> </w:t>
      </w:r>
      <w:r>
        <w:t xml:space="preserve">Cir. 2011).</w:t>
      </w:r>
    </w:p>
    <w:p>
      <w:pPr>
        <w:pStyle w:val="BodyText"/>
      </w:pPr>
      <w:r>
        <w:rPr>
          <w:bCs/>
          <w:b/>
        </w:rPr>
        <w:t xml:space="preserve">State-law claims.</w:t>
      </w:r>
      <w:r>
        <w:t xml:space="preserve"> </w:t>
      </w:r>
      <w:r>
        <w:t xml:space="preserve">A state whistleblower claim that would require a jury to decide a pilot’s medical fitness is</w:t>
      </w:r>
      <w:r>
        <w:t xml:space="preserve"> </w:t>
      </w:r>
      <w:r>
        <w:t xml:space="preserve">preempted, because federal law occupies the field of pilot qualifications and airman medical standards.</w:t>
      </w:r>
      <w:r>
        <w:t xml:space="preserve"> </w:t>
      </w:r>
      <w:r>
        <w:rPr>
          <w:iCs/>
          <w:i/>
        </w:rPr>
        <w:t xml:space="preserve">Ventress v.</w:t>
      </w:r>
      <w:r>
        <w:rPr>
          <w:iCs/>
          <w:i/>
        </w:rPr>
        <w:t xml:space="preserve"> </w:t>
      </w:r>
      <w:r>
        <w:rPr>
          <w:iCs/>
          <w:i/>
        </w:rPr>
        <w:t xml:space="preserve">Japan Airlines</w:t>
      </w:r>
      <w:r>
        <w:t xml:space="preserve">, 747 F.3d 716, 721-22 (9th Cir. 2014). AIR21 is therefore the main remedy for a pilot grounded on</w:t>
      </w:r>
      <w:r>
        <w:t xml:space="preserve"> </w:t>
      </w:r>
      <w:r>
        <w:t xml:space="preserve">fitness grounds after a report.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Deadline.</w:t>
      </w:r>
      <w:r>
        <w:t xml:space="preserve"> </w:t>
      </w:r>
      <w:r>
        <w:t xml:space="preserve">The complaint must be filed with the Secretary of Labor (OSHA) within 90 days after the violation</w:t>
      </w:r>
      <w:r>
        <w:t xml:space="preserve"> </w:t>
      </w:r>
      <w:r>
        <w:t xml:space="preserve">(§42121(b)(1)). The adverse action, such as removal from flight duty or referral for a fitness-for-duty</w:t>
      </w:r>
      <w:r>
        <w:t xml:space="preserve"> </w:t>
      </w:r>
      <w:r>
        <w:t xml:space="preserve">evaluation, starts the clock.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Burden.</w:t>
      </w:r>
      <w:r>
        <w:t xml:space="preserve"> </w:t>
      </w:r>
      <w:r>
        <w:t xml:space="preserve">The employee must show that the protected activity was a contributing factor in the adverse action;</w:t>
      </w:r>
      <w:r>
        <w:t xml:space="preserve"> </w:t>
      </w:r>
      <w:r>
        <w:t xml:space="preserve">the employer then avoids liability only by showing by clear and convincing evidence that it would have taken the</w:t>
      </w:r>
      <w:r>
        <w:t xml:space="preserve"> </w:t>
      </w:r>
      <w:r>
        <w:t xml:space="preserve">same action anyway (§42121(b)(2)(B)).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Forum.</w:t>
      </w:r>
      <w:r>
        <w:t xml:space="preserve"> </w:t>
      </w:r>
      <w:r>
        <w:t xml:space="preserve">OSHA investigates and issues findings within 60 days. Either side may object and request a hearing</w:t>
      </w:r>
      <w:r>
        <w:t xml:space="preserve"> </w:t>
      </w:r>
      <w:r>
        <w:t xml:space="preserve">before a Department of Labor administrative law judge within 30 days of the findings; otherwise a preliminary</w:t>
      </w:r>
      <w:r>
        <w:t xml:space="preserve"> </w:t>
      </w:r>
      <w:r>
        <w:t xml:space="preserve">order becomes final and unreviewable (§42121(b)(2)(A)). The ALJ’s decision is reviewed by the Administrative</w:t>
      </w:r>
      <w:r>
        <w:t xml:space="preserve"> </w:t>
      </w:r>
      <w:r>
        <w:t xml:space="preserve">Review Board (29 C.F.R. part 1979), and a final order may be taken to the court of appeals within 60 days</w:t>
      </w:r>
      <w:r>
        <w:t xml:space="preserve"> </w:t>
      </w:r>
      <w:r>
        <w:t xml:space="preserve">(§42121(b)(4)(A)). AIR21 has no provision for removing the case to district court.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Remedies.</w:t>
      </w:r>
      <w:r>
        <w:t xml:space="preserve"> </w:t>
      </w:r>
      <w:r>
        <w:t xml:space="preserve">Reinstatement, back pay, compensatory damages, and attorney fees (§42121(b)(3)(B)).</w:t>
      </w:r>
    </w:p>
    <w:bookmarkEnd w:id="27"/>
    <w:bookmarkStart w:id="28" w:name="collective-bargaining-agreements"/>
    <w:p>
      <w:pPr>
        <w:pStyle w:val="Heading3"/>
      </w:pPr>
      <w:r>
        <w:t xml:space="preserve">3.2 Collective bargaining agreements</w:t>
      </w:r>
    </w:p>
    <w:p>
      <w:pPr>
        <w:pStyle w:val="FirstParagraph"/>
      </w:pPr>
      <w:r>
        <w:t xml:space="preserve">Pilots represented by a union can grieve discipline under the collective bargaining agreement. Disputes over the</w:t>
      </w:r>
      <w:r>
        <w:t xml:space="preserve"> </w:t>
      </w:r>
      <w:r>
        <w:t xml:space="preserve">agreement’s application are</w:t>
      </w:r>
      <w:r>
        <w:t xml:space="preserve"> </w:t>
      </w:r>
      <w:r>
        <w:t xml:space="preserve">“</w:t>
      </w:r>
      <w:r>
        <w:t xml:space="preserve">minor disputes</w:t>
      </w:r>
      <w:r>
        <w:t xml:space="preserve">”</w:t>
      </w:r>
      <w:r>
        <w:t xml:space="preserve"> </w:t>
      </w:r>
      <w:r>
        <w:t xml:space="preserve">under the Railway Labor Act, decided by the carrier’s system board of</w:t>
      </w:r>
      <w:r>
        <w:t xml:space="preserve"> </w:t>
      </w:r>
      <w:r>
        <w:t xml:space="preserve">adjustment (45 U.S.C. §184). The grievance and the AIR21 complaint run separately, and filing one does not stop the</w:t>
      </w:r>
      <w:r>
        <w:t xml:space="preserve"> </w:t>
      </w:r>
      <w:r>
        <w:t xml:space="preserve">clock on the other.</w:t>
      </w:r>
    </w:p>
    <w:bookmarkEnd w:id="28"/>
    <w:bookmarkStart w:id="29" w:name="X5d5fce3ece4fa6e6e95a4a2f460951692e15531"/>
    <w:p>
      <w:pPr>
        <w:pStyle w:val="Heading3"/>
      </w:pPr>
      <w:r>
        <w:t xml:space="preserve">3.3 FAA investigations: the Pilot’s Bill of Rights</w:t>
      </w:r>
    </w:p>
    <w:p>
      <w:pPr>
        <w:pStyle w:val="FirstParagraph"/>
      </w:pPr>
      <w:r>
        <w:t xml:space="preserve">If the FAA opens an investigation into a certificate holder, it must give written notice of the nature of the</w:t>
      </w:r>
      <w:r>
        <w:t xml:space="preserve"> </w:t>
      </w:r>
      <w:r>
        <w:t xml:space="preserve">investigation and tell the airman</w:t>
      </w:r>
      <w:r>
        <w:t xml:space="preserve"> </w:t>
      </w:r>
      <w:r>
        <w:t xml:space="preserve">“</w:t>
      </w:r>
      <w:r>
        <w:t xml:space="preserve">that an oral or written response to a Letter of Investigation … is not</w:t>
      </w:r>
      <w:r>
        <w:t xml:space="preserve"> </w:t>
      </w:r>
      <w:r>
        <w:t xml:space="preserve">required,</w:t>
      </w:r>
      <w:r>
        <w:t xml:space="preserve">”</w:t>
      </w:r>
      <w:r>
        <w:t xml:space="preserve"> </w:t>
      </w:r>
      <w:r>
        <w:t xml:space="preserve">that no adverse inference can be drawn from declining to respond, and that</w:t>
      </w:r>
      <w:r>
        <w:t xml:space="preserve"> </w:t>
      </w:r>
      <w:r>
        <w:t xml:space="preserve">“</w:t>
      </w:r>
      <w:r>
        <w:t xml:space="preserve">any response … may be used</w:t>
      </w:r>
      <w:r>
        <w:t xml:space="preserve"> </w:t>
      </w:r>
      <w:r>
        <w:t xml:space="preserve">as evidence against the individual.</w:t>
      </w:r>
      <w:r>
        <w:t xml:space="preserve">”</w:t>
      </w:r>
      <w:r>
        <w:t xml:space="preserve"> </w:t>
      </w:r>
      <w:r>
        <w:t xml:space="preserve">Pilot’s Bill of Rights, Pub. L. 112-153, §2(b)(1)-(2) (49 U.S.C. §44703 note).</w:t>
      </w:r>
      <w:r>
        <w:t xml:space="preserve"> </w:t>
      </w:r>
      <w:r>
        <w:t xml:space="preserve">The airman is entitled to the releasable portions of the investigative report and to relevant air traffic data,</w:t>
      </w:r>
      <w:r>
        <w:t xml:space="preserve"> </w:t>
      </w:r>
      <w:r>
        <w:t xml:space="preserve">including communication tapes and radar data (§2(b)(4)). A response, if given, is due within 30 days of receipt</w:t>
      </w:r>
      <w:r>
        <w:t xml:space="preserve"> </w:t>
      </w:r>
      <w:r>
        <w:t xml:space="preserve">(§2(b)(6)). Certificate actions are appealable to the NTSB (49 U.S.C. §44709(d)), and the FAA may reexamine any</w:t>
      </w:r>
      <w:r>
        <w:t xml:space="preserve"> </w:t>
      </w:r>
      <w:r>
        <w:t xml:space="preserve">certificate holder (§44709(a)).</w:t>
      </w:r>
    </w:p>
    <w:bookmarkEnd w:id="29"/>
    <w:bookmarkStart w:id="30" w:name="asrs-immunity"/>
    <w:p>
      <w:pPr>
        <w:pStyle w:val="Heading3"/>
      </w:pPr>
      <w:r>
        <w:t xml:space="preserve">3.4 ASRS immunity</w:t>
      </w:r>
    </w:p>
    <w:p>
      <w:pPr>
        <w:pStyle w:val="FirstParagraph"/>
      </w:pPr>
      <w:r>
        <w:t xml:space="preserve">The FAA treats the filing of an ASRS report as</w:t>
      </w:r>
      <w:r>
        <w:t xml:space="preserve"> </w:t>
      </w:r>
      <w:r>
        <w:t xml:space="preserve">“</w:t>
      </w:r>
      <w:r>
        <w:t xml:space="preserve">indicative of a constructive attitude,</w:t>
      </w:r>
      <w:r>
        <w:t xml:space="preserve">”</w:t>
      </w:r>
      <w:r>
        <w:t xml:space="preserve"> </w:t>
      </w:r>
      <w:r>
        <w:t xml:space="preserve">and will impose no civil</w:t>
      </w:r>
      <w:r>
        <w:t xml:space="preserve"> </w:t>
      </w:r>
      <w:r>
        <w:t xml:space="preserve">penalty or certificate suspension for a violation if it was</w:t>
      </w:r>
      <w:r>
        <w:t xml:space="preserve"> </w:t>
      </w:r>
      <w:r>
        <w:t xml:space="preserve">“</w:t>
      </w:r>
      <w:r>
        <w:t xml:space="preserve">inadvertent and not deliberate,</w:t>
      </w:r>
      <w:r>
        <w:t xml:space="preserve">”</w:t>
      </w:r>
      <w:r>
        <w:t xml:space="preserve"> </w:t>
      </w:r>
      <w:r>
        <w:t xml:space="preserve">did not involve a</w:t>
      </w:r>
      <w:r>
        <w:t xml:space="preserve"> </w:t>
      </w:r>
      <w:r>
        <w:t xml:space="preserve">criminal offense, accident, or a §44709 competency action, the airman has no FAA enforcement finding in the</w:t>
      </w:r>
      <w:r>
        <w:t xml:space="preserve"> </w:t>
      </w:r>
      <w:r>
        <w:t xml:space="preserve">previous 5 years, and the airman shows that a report was delivered to NASA</w:t>
      </w:r>
      <w:r>
        <w:t xml:space="preserve"> </w:t>
      </w:r>
      <w:r>
        <w:t xml:space="preserve">“</w:t>
      </w:r>
      <w:r>
        <w:t xml:space="preserve">within 10 days after the violation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after the airman became aware of it. FAA Advisory Circular 00-46F ¶12.3 (Apr. 2, 2021). A deviation from an</w:t>
      </w:r>
      <w:r>
        <w:t xml:space="preserve"> </w:t>
      </w:r>
      <w:r>
        <w:t xml:space="preserve">assigned altitude or heading to avoid an unidentified object is the kind of event the program covers. The ASRS</w:t>
      </w:r>
      <w:r>
        <w:t xml:space="preserve"> </w:t>
      </w:r>
      <w:r>
        <w:t xml:space="preserve">report also creates a dated record that the pilot controls.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6" w:name="medical-certification"/>
    <w:p>
      <w:pPr>
        <w:pStyle w:val="Heading2"/>
      </w:pPr>
      <w:r>
        <w:t xml:space="preserve">4. Medical certification</w:t>
      </w:r>
    </w:p>
    <w:bookmarkStart w:id="32" w:name="the-standards"/>
    <w:p>
      <w:pPr>
        <w:pStyle w:val="Heading3"/>
      </w:pPr>
      <w:r>
        <w:t xml:space="preserve">4.1 The standards</w:t>
      </w:r>
    </w:p>
    <w:p>
      <w:pPr>
        <w:pStyle w:val="FirstParagraph"/>
      </w:pPr>
      <w:r>
        <w:t xml:space="preserve">A first-class medical certificate requires</w:t>
      </w:r>
      <w:r>
        <w:t xml:space="preserve"> </w:t>
      </w:r>
      <w:r>
        <w:t xml:space="preserve">“</w:t>
      </w:r>
      <w:r>
        <w:t xml:space="preserve">[n]o established medical history or clinical diagnosis</w:t>
      </w:r>
      <w:r>
        <w:t xml:space="preserve">”</w:t>
      </w:r>
      <w:r>
        <w:t xml:space="preserve"> </w:t>
      </w:r>
      <w:r>
        <w:t xml:space="preserve">of a</w:t>
      </w:r>
      <w:r>
        <w:t xml:space="preserve"> </w:t>
      </w:r>
      <w:r>
        <w:t xml:space="preserve">psychosis, defined as a disorder in which the individual</w:t>
      </w:r>
      <w:r>
        <w:t xml:space="preserve"> </w:t>
      </w:r>
      <w:r>
        <w:t xml:space="preserve">“</w:t>
      </w:r>
      <w:r>
        <w:t xml:space="preserve">has manifested delusions, hallucinations, grossly</w:t>
      </w:r>
      <w:r>
        <w:t xml:space="preserve"> </w:t>
      </w:r>
      <w:r>
        <w:t xml:space="preserve">bizarre or disorganized behavior, or other commonly accepted symptoms of this condition,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may reasonably be</w:t>
      </w:r>
      <w:r>
        <w:t xml:space="preserve"> </w:t>
      </w:r>
      <w:r>
        <w:t xml:space="preserve">expected to</w:t>
      </w:r>
      <w:r>
        <w:t xml:space="preserve">”</w:t>
      </w:r>
      <w:r>
        <w:t xml:space="preserve"> </w:t>
      </w:r>
      <w:r>
        <w:t xml:space="preserve">(14 C.F.R. §67.107(a)(2)). The rule also disqualifies any</w:t>
      </w:r>
      <w:r>
        <w:t xml:space="preserve"> </w:t>
      </w:r>
      <w:r>
        <w:t xml:space="preserve">“</w:t>
      </w:r>
      <w:r>
        <w:t xml:space="preserve">other mental condition</w:t>
      </w:r>
      <w:r>
        <w:t xml:space="preserve">”</w:t>
      </w:r>
      <w:r>
        <w:t xml:space="preserve"> </w:t>
      </w:r>
      <w:r>
        <w:t xml:space="preserve">that the Federal</w:t>
      </w:r>
      <w:r>
        <w:t xml:space="preserve"> </w:t>
      </w:r>
      <w:r>
        <w:t xml:space="preserve">Air Surgeon finds makes the airman unable to perform safely (§67.107(c)). Second- and third-class standards are</w:t>
      </w:r>
      <w:r>
        <w:t xml:space="preserve"> </w:t>
      </w:r>
      <w:r>
        <w:t xml:space="preserve">the same in substance. A certificate holder may not act as a required crewmember while knowing or having reason</w:t>
      </w:r>
      <w:r>
        <w:t xml:space="preserve"> </w:t>
      </w:r>
      <w:r>
        <w:t xml:space="preserve">to know of a condition that would make the holder unable to meet the standards (14 C.F.R. §61.53(a)).</w:t>
      </w:r>
    </w:p>
    <w:bookmarkEnd w:id="32"/>
    <w:bookmarkStart w:id="34" w:name="Xbbb8436cf1e2c9fc690a3a3d46d7609ddd52687"/>
    <w:p>
      <w:pPr>
        <w:pStyle w:val="Heading3"/>
      </w:pPr>
      <w:r>
        <w:t xml:space="preserve">4.2 Keeping an observation from becoming a diagnosis</w:t>
      </w:r>
    </w:p>
    <w:p>
      <w:pPr>
        <w:pStyle w:val="FirstParagraph"/>
      </w:pPr>
      <w:r>
        <w:t xml:space="preserve">The risk in a UAP case is that an observation is treated as a hallucination. An airline that refers a pilot for a</w:t>
      </w:r>
      <w:r>
        <w:t xml:space="preserve"> </w:t>
      </w:r>
      <w:r>
        <w:t xml:space="preserve">fitness-for-duty evaluation after a report, or an aviation medical examiner who records the report as a symptom,</w:t>
      </w:r>
      <w:r>
        <w:t xml:space="preserve"> </w:t>
      </w:r>
      <w:r>
        <w:t xml:space="preserve">can start a process that ends with a deferred or denied certificate.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Corroboration.</w:t>
      </w:r>
      <w:r>
        <w:t xml:space="preserve"> </w:t>
      </w:r>
      <w:r>
        <w:t xml:space="preserve">Gather what corroborates the observation: other crew, other aircraft, controller statements,</w:t>
      </w:r>
      <w:r>
        <w:t xml:space="preserve"> </w:t>
      </w:r>
      <w:r>
        <w:t xml:space="preserve">radar and sensor data (</w:t>
      </w:r>
      <w:hyperlink r:id="rId33">
        <w:r>
          <w:rPr>
            <w:rStyle w:val="Hyperlink"/>
          </w:rPr>
          <w:t xml:space="preserve">Form D4-1</w:t>
        </w:r>
      </w:hyperlink>
      <w:r>
        <w:t xml:space="preserve">). An observation shared by a second pilot or confirmed by radar is not a symptom</w:t>
      </w:r>
      <w:r>
        <w:t xml:space="preserve"> </w:t>
      </w:r>
      <w:r>
        <w:t xml:space="preserve">of anything.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The medical application.</w:t>
      </w:r>
      <w:r>
        <w:t xml:space="preserve"> </w:t>
      </w:r>
      <w:r>
        <w:t xml:space="preserve">The FAA’s application (MedXPress) asks about mental health conditions and</w:t>
      </w:r>
      <w:r>
        <w:t xml:space="preserve"> </w:t>
      </w:r>
      <w:r>
        <w:t xml:space="preserve">treatment. A pilot who has not been diagnosed or treated for a condition answers on that basis; a UAP report is</w:t>
      </w:r>
      <w:r>
        <w:t xml:space="preserve"> </w:t>
      </w:r>
      <w:r>
        <w:t xml:space="preserve">not a mental health condition and does not by itself call for a</w:t>
      </w:r>
      <w:r>
        <w:t xml:space="preserve"> </w:t>
      </w:r>
      <w:r>
        <w:t xml:space="preserve">“</w:t>
      </w:r>
      <w:r>
        <w:t xml:space="preserve">yes.</w:t>
      </w:r>
      <w:r>
        <w:t xml:space="preserve">”</w:t>
      </w:r>
      <w:r>
        <w:t xml:space="preserve"> </w:t>
      </w:r>
      <w:r>
        <w:t xml:space="preserve">A false answer is a federal crime and a</w:t>
      </w:r>
      <w:r>
        <w:t xml:space="preserve"> </w:t>
      </w:r>
      <w:r>
        <w:t xml:space="preserve">ground for revocation, so the pilot should answer every question accurately and should consult an aviation</w:t>
      </w:r>
      <w:r>
        <w:t xml:space="preserve"> </w:t>
      </w:r>
      <w:r>
        <w:t xml:space="preserve">medical examiner, or an aviation attorney, before an exam if the report has become an issue.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Independent evaluation.</w:t>
      </w:r>
      <w:r>
        <w:t xml:space="preserve"> </w:t>
      </w:r>
      <w:r>
        <w:t xml:space="preserve">If the airline or the FAA raises fitness, obtain an evaluation from a psychiatrist or</w:t>
      </w:r>
      <w:r>
        <w:t xml:space="preserve"> </w:t>
      </w:r>
      <w:r>
        <w:t xml:space="preserve">psychologist experienced with FAA standards before the matter reaches the Federal Air Surgeon.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Do not self-ground without advice.</w:t>
      </w:r>
      <w:r>
        <w:t xml:space="preserve"> </w:t>
      </w:r>
      <w:r>
        <w:t xml:space="preserve">A pilot who feels pressure to stop flying should understand that §61.53</w:t>
      </w:r>
      <w:r>
        <w:t xml:space="preserve"> </w:t>
      </w:r>
      <w:r>
        <w:t xml:space="preserve">turns on a medical condition. A pilot with no condition is not required to stop, but should not fly if fatigued</w:t>
      </w:r>
      <w:r>
        <w:t xml:space="preserve"> </w:t>
      </w:r>
      <w:r>
        <w:t xml:space="preserve">or distressed after an event.</w:t>
      </w:r>
    </w:p>
    <w:bookmarkEnd w:id="34"/>
    <w:bookmarkStart w:id="35" w:name="loss-of-license-insurance"/>
    <w:p>
      <w:pPr>
        <w:pStyle w:val="Heading3"/>
      </w:pPr>
      <w:r>
        <w:t xml:space="preserve">4.3 Loss-of-license insurance</w:t>
      </w:r>
    </w:p>
    <w:p>
      <w:pPr>
        <w:pStyle w:val="FirstParagraph"/>
      </w:pPr>
      <w:r>
        <w:t xml:space="preserve">Many professional pilots carry loss-of-license or disability insurance that pays if the medical certificate is</w:t>
      </w:r>
      <w:r>
        <w:t xml:space="preserve"> </w:t>
      </w:r>
      <w:r>
        <w:t xml:space="preserve">lost. Read the policy’s definitions before any evaluation: some policies pay only for loss of the certificate for</w:t>
      </w:r>
      <w:r>
        <w:t xml:space="preserve"> </w:t>
      </w:r>
      <w:r>
        <w:t xml:space="preserve">medical reasons and exclude groundings by the employer or administrative suspensions.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38" w:name="military-aircrew"/>
    <w:p>
      <w:pPr>
        <w:pStyle w:val="Heading2"/>
      </w:pPr>
      <w:r>
        <w:t xml:space="preserve">5. Military aircrew</w:t>
      </w:r>
    </w:p>
    <w:p>
      <w:pPr>
        <w:pStyle w:val="FirstParagraph"/>
      </w:pPr>
      <w:r>
        <w:t xml:space="preserve">Service members who report UAP through the chain of command or to AARO are protected by 10 U.S.C. §1034 when the</w:t>
      </w:r>
      <w:r>
        <w:t xml:space="preserve"> </w:t>
      </w:r>
      <w:r>
        <w:t xml:space="preserve">report is a protected communication to a member of Congress, an inspector general, or a designated recipient, and</w:t>
      </w:r>
      <w:r>
        <w:t xml:space="preserve"> </w:t>
      </w:r>
      <w:r>
        <w:t xml:space="preserve">DoD policy forbids referral for a mental health evaluation as reprisal (DoD Instruction 6490.04 ¶3.e;</w:t>
      </w:r>
      <w:r>
        <w:t xml:space="preserve"> </w:t>
      </w:r>
      <w:hyperlink r:id="rId37">
        <w:r>
          <w:rPr>
            <w:rStyle w:val="Hyperlink"/>
          </w:rPr>
          <w:t xml:space="preserve">Issue C1</w:t>
        </w:r>
      </w:hyperlink>
      <w:r>
        <w:t xml:space="preserve"> </w:t>
      </w:r>
      <w:r>
        <w:t xml:space="preserve">§4.2). The Joint Staff’s 2023 order requires every UAP incident to be reported to AARO through the chain of command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Issue D4</w:t>
        </w:r>
      </w:hyperlink>
      <w:r>
        <w:t xml:space="preserve"> </w:t>
      </w:r>
      <w:r>
        <w:t xml:space="preserve">§2). Military flight surgeons and flight status boards apply service medical standards in place of part 67, and the</w:t>
      </w:r>
      <w:r>
        <w:t xml:space="preserve"> </w:t>
      </w:r>
      <w:r>
        <w:t xml:space="preserve">remedies for an improper grounding run through the service’s administrative processes and the Board for Correction</w:t>
      </w:r>
      <w:r>
        <w:t xml:space="preserve"> </w:t>
      </w:r>
      <w:r>
        <w:t xml:space="preserve">of Military Records.</w:t>
      </w:r>
    </w:p>
    <w:p>
      <w:r>
        <w:pict>
          <v:rect style="width:0;height:1.5pt" o:hralign="center" o:hrstd="t" o:hr="t"/>
        </w:pict>
      </w:r>
    </w:p>
    <w:bookmarkEnd w:id="38"/>
    <w:bookmarkStart w:id="39" w:name="the-working-premise"/>
    <w:p>
      <w:pPr>
        <w:pStyle w:val="Heading2"/>
      </w:pPr>
      <w:r>
        <w:t xml:space="preserve">6. The working premise</w:t>
      </w:r>
    </w:p>
    <w:p>
      <w:pPr>
        <w:pStyle w:val="FirstParagraph"/>
      </w:pPr>
      <w:r>
        <w:t xml:space="preserve">The site assumes that AARO is part of the concealment. For pilots, that means a report routed only through ATC to</w:t>
      </w:r>
      <w:r>
        <w:t xml:space="preserve"> </w:t>
      </w:r>
      <w:r>
        <w:t xml:space="preserve">AARO may never be acted on, and the pilot will never learn what was done with it. The pilot should therefore keep</w:t>
      </w:r>
      <w:r>
        <w:t xml:space="preserve"> </w:t>
      </w:r>
      <w:r>
        <w:t xml:space="preserve">control of a parallel record: a contemporaneous written account, the ASRS report, the airline safety report, and a</w:t>
      </w:r>
      <w:r>
        <w:t xml:space="preserve"> </w:t>
      </w:r>
      <w:r>
        <w:t xml:space="preserve">preservation letter for radar and communications data (</w:t>
      </w:r>
      <w:hyperlink r:id="rId33">
        <w:r>
          <w:rPr>
            <w:rStyle w:val="Hyperlink"/>
          </w:rPr>
          <w:t xml:space="preserve">Form D4-1</w:t>
        </w:r>
      </w:hyperlink>
      <w:r>
        <w:t xml:space="preserve">). A Department of War pilot or contractor may</w:t>
      </w:r>
      <w:r>
        <w:t xml:space="preserve"> </w:t>
      </w:r>
      <w:r>
        <w:t xml:space="preserve">also use PURSUE (</w:t>
      </w:r>
      <w:hyperlink r:id="rId37">
        <w:r>
          <w:rPr>
            <w:rStyle w:val="Hyperlink"/>
          </w:rPr>
          <w:t xml:space="preserve">Issue C1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9"/>
    <w:bookmarkStart w:id="40" w:name="practice-points"/>
    <w:p>
      <w:pPr>
        <w:pStyle w:val="Heading2"/>
      </w:pPr>
      <w:r>
        <w:t xml:space="preserve">7. Practice points</w:t>
      </w:r>
    </w:p>
    <w:p>
      <w:pPr>
        <w:pStyle w:val="Compact"/>
        <w:numPr>
          <w:ilvl w:val="0"/>
          <w:numId w:val="1005"/>
        </w:numPr>
      </w:pPr>
      <w:r>
        <w:t xml:space="preserve">Write a dated account of the event within hours, with times, positions, and the other crew’s observations.</w:t>
      </w:r>
    </w:p>
    <w:p>
      <w:pPr>
        <w:pStyle w:val="Compact"/>
        <w:numPr>
          <w:ilvl w:val="0"/>
          <w:numId w:val="1005"/>
        </w:numPr>
      </w:pPr>
      <w:r>
        <w:t xml:space="preserve">File an ASRS report within 10 days, and the airline safety report the company requires.</w:t>
      </w:r>
    </w:p>
    <w:p>
      <w:pPr>
        <w:pStyle w:val="Compact"/>
        <w:numPr>
          <w:ilvl w:val="0"/>
          <w:numId w:val="1005"/>
        </w:numPr>
      </w:pPr>
      <w:r>
        <w:t xml:space="preserve">Send the preservation letter the same day (</w:t>
      </w:r>
      <w:hyperlink r:id="rId33">
        <w:r>
          <w:rPr>
            <w:rStyle w:val="Hyperlink"/>
          </w:rPr>
          <w:t xml:space="preserve">Form D4-1</w:t>
        </w:r>
      </w:hyperlink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If the airline takes any action, calendar 90 days for AIR21 from the action and file a grievance where a</w:t>
      </w:r>
      <w:r>
        <w:t xml:space="preserve"> </w:t>
      </w:r>
      <w:r>
        <w:t xml:space="preserve">collective bargaining agreement applies.</w:t>
      </w:r>
    </w:p>
    <w:p>
      <w:pPr>
        <w:pStyle w:val="Compact"/>
        <w:numPr>
          <w:ilvl w:val="0"/>
          <w:numId w:val="1005"/>
        </w:numPr>
      </w:pPr>
      <w:r>
        <w:t xml:space="preserve">Do not answer an FAA letter of investigation without counsel.</w:t>
      </w:r>
    </w:p>
    <w:p>
      <w:pPr>
        <w:pStyle w:val="Compact"/>
        <w:numPr>
          <w:ilvl w:val="0"/>
          <w:numId w:val="1005"/>
        </w:numPr>
      </w:pPr>
      <w:r>
        <w:t xml:space="preserve">Prepare for any medical evaluation with corroboration and, if needed, an independent evaluation.</w:t>
      </w:r>
    </w:p>
    <w:p>
      <w:pPr>
        <w:pStyle w:val="Compact"/>
        <w:numPr>
          <w:ilvl w:val="0"/>
          <w:numId w:val="1005"/>
        </w:numPr>
      </w:pPr>
      <w:r>
        <w:t xml:space="preserve">Check loss-of-license insurance terms before the evaluation.</w:t>
      </w:r>
    </w:p>
    <w:p>
      <w:r>
        <w:pict>
          <v:rect style="width:0;height:1.5pt" o:hralign="center" o:hrstd="t" o:hr="t"/>
        </w:pict>
      </w:r>
    </w:p>
    <w:bookmarkEnd w:id="40"/>
    <w:bookmarkStart w:id="41" w:name="deadlines"/>
    <w:p>
      <w:pPr>
        <w:pStyle w:val="Heading2"/>
      </w:pPr>
      <w:r>
        <w:t xml:space="preserve">8. Deadlines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ASRS report for sanction waiver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 after the event or awareness of a violation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 00-46F ¶12.3.4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AIR21 complaint to OSHA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 after the adverse action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 U.S.C. §42121(b)(1)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Objections to OSHA findings and hearing request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after notice of the findings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§42121(b)(2)(A)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Petition for review of the final 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 after the final 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§42121(b)(4)(A)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Response to FAA letter of investigation (optional)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after receipt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Pilot’s Bill of Rights §2(b)(6)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FTCA claim (if the government’s conduct contributed to a loss)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years after accrual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U.S.C. §2401(b)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1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Pilots and Aircrew Who Report UAP: Reporting, Retaliation, Medical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3" Type="http://schemas.openxmlformats.org/officeDocument/2006/relationships/hyperlink" Target="https://nhilaw.com/forms/d4-1.html" TargetMode="External"/><Relationship Id="rId26" Type="http://schemas.openxmlformats.org/officeDocument/2006/relationships/hyperlink" Target="https://nhilaw.com/forms/d7-1.html" TargetMode="External"/><Relationship Id="rId37" Type="http://schemas.openxmlformats.org/officeDocument/2006/relationships/hyperlink" Target="https://nhilaw.com/issues/c1.html" TargetMode="External"/><Relationship Id="rId22" Type="http://schemas.openxmlformats.org/officeDocument/2006/relationships/hyperlink" Target="https://nhilaw.com/issues/d4.html" TargetMode="External"/><Relationship Id="rId23" Type="http://schemas.openxmlformats.org/officeDocument/2006/relationships/hyperlink" Target="https://nhilaw.com/issues/e5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3" Type="http://schemas.openxmlformats.org/officeDocument/2006/relationships/hyperlink" Target="https://nhilaw.com/forms/d4-1.html" TargetMode="External"/><Relationship Id="rId26" Type="http://schemas.openxmlformats.org/officeDocument/2006/relationships/hyperlink" Target="https://nhilaw.com/forms/d7-1.html" TargetMode="External"/><Relationship Id="rId37" Type="http://schemas.openxmlformats.org/officeDocument/2006/relationships/hyperlink" Target="https://nhilaw.com/issues/c1.html" TargetMode="External"/><Relationship Id="rId22" Type="http://schemas.openxmlformats.org/officeDocument/2006/relationships/hyperlink" Target="https://nhilaw.com/issues/d4.html" TargetMode="External"/><Relationship Id="rId23" Type="http://schemas.openxmlformats.org/officeDocument/2006/relationships/hyperlink" Target="https://nhilaw.com/issues/e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Pilots and Aircrew Who Report UAP: Reporting, Retaliation, Medical Certification, and Insurance</dc:title>
  <dc:creator>nhilaw.com</dc:creator>
  <cp:keywords/>
  <dcterms:created xsi:type="dcterms:W3CDTF">2026-10-19T03:13:52Z</dcterms:created>
  <dcterms:modified xsi:type="dcterms:W3CDTF">2026-10-19T03:13:52Z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nhilaw.com/issues/d7.html</vt:lpwstr>
  </property>
</Properties>
</file>