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4" w:name="X717511896ef1ec18871f1aa769af1a7589baa2f"/>
    <w:p>
      <w:pPr>
        <w:pStyle w:val="Heading1"/>
      </w:pPr>
      <w:r>
        <w:t xml:space="preserve">Form E1-1. Notice to the Government of Ownership Claim and Takings Reservation for Privately Held Material</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https://nhilaw.com/forms/e1-1.html</w:t>
      </w:r>
    </w:p>
    <w:p>
      <w:pPr>
        <w:pStyle w:val="BodyText"/>
        <w:spacing w:after="160" w:line="259" w:lineRule="auto"/>
      </w:pPr>
      <w:r>
        <w:rPr>
          <w:bCs/>
          <w:b/>
        </w:rPr>
        <w:t xml:space="preserve">When to use.</w:t>
      </w:r>
      <w:r>
        <w:t xml:space="preserve"> </w:t>
      </w:r>
      <w:r>
        <w:t xml:space="preserve">The government asks to examine, take, or transfer material a client holds and claims to own.</w:t>
      </w:r>
      <w:r>
        <w:t xml:space="preserve"> </w:t>
      </w:r>
      <w:r>
        <w:rPr>
          <w:bCs/>
          <w:b/>
        </w:rPr>
        <w:t xml:space="preserve">Not for:</w:t>
      </w:r>
      <w:r>
        <w:t xml:space="preserve"> </w:t>
      </w:r>
      <w:r>
        <w:t xml:space="preserve">Government-furnished property, which belongs to the government.</w:t>
      </w:r>
    </w:p>
    <w:p>
      <w:pPr>
        <w:pStyle w:val="BodyText"/>
        <w:spacing w:after="160" w:line="259" w:lineRule="auto"/>
      </w:pPr>
      <w:r>
        <w:rPr>
          <w:bCs/>
          <w:b/>
        </w:rPr>
        <w:t xml:space="preserve">Deadlines.</w:t>
      </w:r>
      <w:r>
        <w:t xml:space="preserve"> </w:t>
      </w:r>
      <w:r>
        <w:t xml:space="preserve">Send before any transfer. Tucker Act claims within six years (28 U.S.C. §2501).</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[Counsel letterhead]</w:t>
      </w:r>
    </w:p>
    <w:p>
      <w:pPr>
        <w:pStyle w:val="BodyText"/>
      </w:pPr>
      <w:r>
        <w:t xml:space="preserve">[Date]</w:t>
      </w:r>
    </w:p>
    <w:p>
      <w:pPr>
        <w:pStyle w:val="BodyText"/>
      </w:pPr>
      <w:r>
        <w:t xml:space="preserve">[Requesting official / agency]</w:t>
      </w:r>
      <w:r>
        <w:br/>
      </w:r>
      <w:r>
        <w:t xml:space="preserve">[cc: Agency General Counsel; U.S. Attorney’s Office, Civil Division (if litigation is anticipated)]</w:t>
      </w:r>
    </w:p>
    <w:p>
      <w:pPr>
        <w:pStyle w:val="BodyText"/>
      </w:pPr>
      <w:r>
        <w:rPr>
          <w:bCs/>
          <w:b/>
        </w:rPr>
        <w:t xml:space="preserve">Re: [Client]’s property: [general description of material]; request dated [date]</w:t>
      </w:r>
    </w:p>
    <w:p>
      <w:pPr>
        <w:pStyle w:val="BodyText"/>
      </w:pPr>
      <w:r>
        <w:t xml:space="preserve">Dear [Name]:</w:t>
      </w:r>
    </w:p>
    <w:p>
      <w:pPr>
        <w:pStyle w:val="BodyText"/>
      </w:pPr>
      <w:r>
        <w:t xml:space="preserve">I represent [client], who holds [general, unclassified description of material] (the</w:t>
      </w:r>
      <w:r>
        <w:t xml:space="preserve"> </w:t>
      </w:r>
      <w:r>
        <w:t xml:space="preserve">“</w:t>
      </w:r>
      <w:r>
        <w:t xml:space="preserve">Material</w:t>
      </w:r>
      <w:r>
        <w:t xml:space="preserve">”</w:t>
      </w:r>
      <w:r>
        <w:t xml:space="preserve">). We received</w:t>
      </w:r>
      <w:r>
        <w:t xml:space="preserve"> </w:t>
      </w:r>
      <w:r>
        <w:t xml:space="preserve">your request dated [date] to [examine / take custody of / transfer] the Material.</w:t>
      </w:r>
    </w:p>
    <w:p>
      <w:pPr>
        <w:pStyle w:val="BodyText"/>
      </w:pPr>
      <w:r>
        <w:rPr>
          <w:bCs/>
          <w:b/>
        </w:rPr>
        <w:t xml:space="preserve">1. Ownership.</w:t>
      </w:r>
      <w:r>
        <w:t xml:space="preserve"> </w:t>
      </w:r>
      <w:r>
        <w:t xml:space="preserve">[Client] claims ownership of the Material, which [client] [found on (client’s land) on (date) /</w:t>
      </w:r>
      <w:r>
        <w:t xml:space="preserve"> </w:t>
      </w:r>
      <w:r>
        <w:t xml:space="preserve">acquired by purchase from (seller) on (date) / inherited from (person)]. Documentation of provenance and chain</w:t>
      </w:r>
      <w:r>
        <w:t xml:space="preserve"> </w:t>
      </w:r>
      <w:r>
        <w:t xml:space="preserve">of custody is available [and enclosed in redacted form]. [If a contract may be relevant, describe and state</w:t>
      </w:r>
      <w:r>
        <w:t xml:space="preserve"> </w:t>
      </w:r>
      <w:r>
        <w:t xml:space="preserve">position: e.g., the Material was not furnished by the Government and was acquired with company funds outside any</w:t>
      </w:r>
      <w:r>
        <w:t xml:space="preserve"> </w:t>
      </w:r>
      <w:r>
        <w:t xml:space="preserve">contract.]</w:t>
      </w:r>
    </w:p>
    <w:p>
      <w:pPr>
        <w:pStyle w:val="BodyText"/>
      </w:pPr>
      <w:r>
        <w:rPr>
          <w:bCs/>
          <w:b/>
        </w:rPr>
        <w:t xml:space="preserve">2. Cooperation.</w:t>
      </w:r>
      <w:r>
        <w:t xml:space="preserve"> </w:t>
      </w:r>
      <w:r>
        <w:t xml:space="preserve">[Client] is willing to make the Material available for non-destructive examination under a</w:t>
      </w:r>
      <w:r>
        <w:t xml:space="preserve"> </w:t>
      </w:r>
      <w:r>
        <w:t xml:space="preserve">written agreement that (a) confirms the examination does not transfer title or possession; (b) specifies the</w:t>
      </w:r>
      <w:r>
        <w:t xml:space="preserve"> </w:t>
      </w:r>
      <w:r>
        <w:t xml:space="preserve">location, duration, personnel, and methods; (c) prohibits destructive testing without written consent; (d)</w:t>
      </w:r>
      <w:r>
        <w:t xml:space="preserve"> </w:t>
      </w:r>
      <w:r>
        <w:t xml:space="preserve">provides [client] with copies of results to the extent consistent with law; and (e) preserves all rights.</w:t>
      </w:r>
    </w:p>
    <w:p>
      <w:pPr>
        <w:pStyle w:val="BodyText"/>
      </w:pPr>
      <w:r>
        <w:rPr>
          <w:bCs/>
          <w:b/>
        </w:rPr>
        <w:t xml:space="preserve">3. Reservation of rights.</w:t>
      </w:r>
      <w:r>
        <w:t xml:space="preserve"> </w:t>
      </w:r>
      <w:r>
        <w:t xml:space="preserve">If the United States takes possession of, or title to, the Material, or restricts</w:t>
      </w:r>
      <w:r>
        <w:t xml:space="preserve"> </w:t>
      </w:r>
      <w:r>
        <w:t xml:space="preserve">[client]’s use of it, [client] will seek just compensation under the Fifth Amendment.</w:t>
      </w:r>
      <w:r>
        <w:t xml:space="preserve"> </w:t>
      </w:r>
      <w:r>
        <w:rPr>
          <w:iCs/>
          <w:i/>
        </w:rPr>
        <w:t xml:space="preserve">Horne v. Department of</w:t>
      </w:r>
      <w:r>
        <w:rPr>
          <w:iCs/>
          <w:i/>
        </w:rPr>
        <w:t xml:space="preserve"> </w:t>
      </w:r>
      <w:r>
        <w:rPr>
          <w:iCs/>
          <w:i/>
        </w:rPr>
        <w:t xml:space="preserve">Agriculture</w:t>
      </w:r>
      <w:r>
        <w:t xml:space="preserve">, 576 U.S. 350, 359-61 (2015). Nothing in [client]’s cooperation is a gift, abandonment, waiver, or</w:t>
      </w:r>
      <w:r>
        <w:t xml:space="preserve"> </w:t>
      </w:r>
      <w:r>
        <w:t xml:space="preserve">consent to a taking without compensation. [If H.R. 8800 §1767 or a successor provision is enacted, reference</w:t>
      </w:r>
      <w:r>
        <w:t xml:space="preserve"> </w:t>
      </w:r>
      <w:r>
        <w:t xml:space="preserve">it.]</w:t>
      </w:r>
    </w:p>
    <w:p>
      <w:pPr>
        <w:pStyle w:val="BodyText"/>
      </w:pPr>
      <w:r>
        <w:rPr>
          <w:bCs/>
          <w:b/>
        </w:rPr>
        <w:t xml:space="preserve">4. Requests.</w:t>
      </w:r>
      <w:r>
        <w:t xml:space="preserve"> </w:t>
      </w:r>
      <w:r>
        <w:t xml:space="preserve">Please identify (a) the legal authority for the request; (b) whether the United States claims</w:t>
      </w:r>
      <w:r>
        <w:t xml:space="preserve"> </w:t>
      </w:r>
      <w:r>
        <w:t xml:space="preserve">title to the Material and, if so, the basis; (c) whether any portion of the request or examination is classified</w:t>
      </w:r>
      <w:r>
        <w:t xml:space="preserve"> </w:t>
      </w:r>
      <w:r>
        <w:t xml:space="preserve">and, if so, how [client] and counsel will be informed of decisions affecting the Material; and (d) a contact for</w:t>
      </w:r>
      <w:r>
        <w:t xml:space="preserve"> </w:t>
      </w:r>
      <w:r>
        <w:t xml:space="preserve">negotiating an examination agreement.</w:t>
      </w:r>
    </w:p>
    <w:p>
      <w:pPr>
        <w:pStyle w:val="BodyText"/>
      </w:pPr>
      <w:r>
        <w:rPr>
          <w:bCs/>
          <w:b/>
        </w:rPr>
        <w:t xml:space="preserve">4A. Seizure as evidence.</w:t>
      </w:r>
      <w:r>
        <w:t xml:space="preserve"> </w:t>
      </w:r>
      <w:r>
        <w:t xml:space="preserve">[If the government asserts that it holds or will hold the Material as evidence:]</w:t>
      </w:r>
      <w:r>
        <w:t xml:space="preserve"> </w:t>
      </w:r>
      <w:r>
        <w:t xml:space="preserve">Property seized and retained under the police power is generally not taken for public use.</w:t>
      </w:r>
      <w:r>
        <w:t xml:space="preserve"> </w:t>
      </w:r>
      <w:r>
        <w:rPr>
          <w:iCs/>
          <w:i/>
        </w:rPr>
        <w:t xml:space="preserve">AmeriSource Corp. v.</w:t>
      </w:r>
      <w:r>
        <w:rPr>
          <w:iCs/>
          <w:i/>
        </w:rPr>
        <w:t xml:space="preserve"> </w:t>
      </w:r>
      <w:r>
        <w:rPr>
          <w:iCs/>
          <w:i/>
        </w:rPr>
        <w:t xml:space="preserve">United States</w:t>
      </w:r>
      <w:r>
        <w:t xml:space="preserve">, 525 F.3d 1149, 1153 (Fed. Cir. 2008). That rule does not apply here, because [no criminal or civil</w:t>
      </w:r>
      <w:r>
        <w:t xml:space="preserve"> </w:t>
      </w:r>
      <w:r>
        <w:t xml:space="preserve">investigation of (client) or of the Material has been identified / the investigation identified in your letter has</w:t>
      </w:r>
      <w:r>
        <w:t xml:space="preserve"> </w:t>
      </w:r>
      <w:r>
        <w:t xml:space="preserve">ended / the request seeks the Material for scientific study and exploitation, which is a public use]. If the United</w:t>
      </w:r>
      <w:r>
        <w:t xml:space="preserve"> </w:t>
      </w:r>
      <w:r>
        <w:t xml:space="preserve">States contends that it holds the Material as evidence, please identify the investigation and the proceeding in</w:t>
      </w:r>
      <w:r>
        <w:t xml:space="preserve"> </w:t>
      </w:r>
      <w:r>
        <w:t xml:space="preserve">which it will be used, and confirm that the Material will be returned when that proceeding ends. [Client] will</w:t>
      </w:r>
      <w:r>
        <w:t xml:space="preserve"> </w:t>
      </w:r>
      <w:r>
        <w:t xml:space="preserve">treat retention after that point, or use of the Material for study, testing, or exploitation, as a taking.</w:t>
      </w:r>
    </w:p>
    <w:p>
      <w:pPr>
        <w:pStyle w:val="BodyText"/>
      </w:pPr>
      <w:r>
        <w:rPr>
          <w:bCs/>
          <w:b/>
        </w:rPr>
        <w:t xml:space="preserve">5. Preservation.</w:t>
      </w:r>
      <w:r>
        <w:t xml:space="preserve"> </w:t>
      </w:r>
      <w:r>
        <w:t xml:space="preserve">[Client] is preserving the Material and all related records. Please preserve all records</w:t>
      </w:r>
      <w:r>
        <w:t xml:space="preserve"> </w:t>
      </w:r>
      <w:r>
        <w:t xml:space="preserve">relating to the Material, which may also be</w:t>
      </w:r>
      <w:r>
        <w:t xml:space="preserve"> </w:t>
      </w:r>
      <w:r>
        <w:t xml:space="preserve">“</w:t>
      </w:r>
      <w:r>
        <w:t xml:space="preserve">unidentified anomalous phenomena records</w:t>
      </w:r>
      <w:r>
        <w:t xml:space="preserve">”</w:t>
      </w:r>
      <w:r>
        <w:t xml:space="preserve"> </w:t>
      </w:r>
      <w:r>
        <w:t xml:space="preserve">under Pub. L. No. 118-31,</w:t>
      </w:r>
      <w:r>
        <w:t xml:space="preserve"> </w:t>
      </w:r>
      <w:r>
        <w:t xml:space="preserve">§1842.</w:t>
      </w:r>
    </w:p>
    <w:p>
      <w:pPr>
        <w:pStyle w:val="BodyText"/>
      </w:pPr>
      <w:r>
        <w:t xml:space="preserve">Sincerely,</w:t>
      </w:r>
      <w:r>
        <w:br/>
      </w:r>
      <w:r>
        <w:t xml:space="preserve">[Counsel]</w:t>
      </w:r>
    </w:p>
    <w:p>
      <w:pPr>
        <w:pStyle w:val="BodyText"/>
        <w:spacing w:lineRule="exact" w:line="40" w:before="0" w:after="0"/>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pPr>
    </w:p>
    <w:bookmarkStart w:id="23" w:name="drafting-notes"/>
    <w:p>
      <w:pPr>
        <w:pStyle w:val="Heading2"/>
      </w:pPr>
      <w:r>
        <w:t xml:space="preserve">Drafting notes</w:t>
      </w:r>
    </w:p>
    <w:p>
      <w:pPr>
        <w:pStyle w:val="Compact"/>
        <w:numPr>
          <w:ilvl w:val="0"/>
          <w:numId w:val="1001"/>
        </w:numPr>
      </w:pPr>
      <w:r>
        <w:rPr>
          <w:bCs/>
          <w:b/>
        </w:rPr>
        <w:t xml:space="preserve">Title first.</w:t>
      </w:r>
      <w:r>
        <w:t xml:space="preserve"> </w:t>
      </w:r>
      <w:r>
        <w:t xml:space="preserve">Before sending, confirm that the client owns the Material: government-furnished property stays</w:t>
      </w:r>
      <w:r>
        <w:t xml:space="preserve"> </w:t>
      </w:r>
      <w:r>
        <w:t xml:space="preserve">the government’s (FAR 52.245-1), and material found on another’s land may belong to the landowner (</w:t>
      </w:r>
      <w:hyperlink r:id="rId20">
        <w:r>
          <w:rPr>
            <w:rStyle w:val="Hyperlink"/>
          </w:rPr>
          <w:t xml:space="preserve">Issue E3</w:t>
        </w:r>
      </w:hyperlink>
      <w:r>
        <w:t xml:space="preserve">).</w:t>
      </w:r>
    </w:p>
    <w:p>
      <w:pPr>
        <w:pStyle w:val="Compact"/>
        <w:numPr>
          <w:ilvl w:val="0"/>
          <w:numId w:val="1001"/>
        </w:numPr>
      </w:pPr>
      <w:r>
        <w:rPr>
          <w:bCs/>
          <w:b/>
        </w:rPr>
        <w:t xml:space="preserve">Evidence seizure.</w:t>
      </w:r>
      <w:r>
        <w:t xml:space="preserve"> </w:t>
      </w:r>
      <w:r>
        <w:t xml:space="preserve">Paragraph 4A answers the government’s strongest defense. Ask for the investigation’s</w:t>
      </w:r>
      <w:r>
        <w:t xml:space="preserve"> </w:t>
      </w:r>
      <w:r>
        <w:t xml:space="preserve">identity in writing; a vague reference to</w:t>
      </w:r>
      <w:r>
        <w:t xml:space="preserve"> </w:t>
      </w:r>
      <w:r>
        <w:t xml:space="preserve">“</w:t>
      </w:r>
      <w:r>
        <w:t xml:space="preserve">national security</w:t>
      </w:r>
      <w:r>
        <w:t xml:space="preserve">”</w:t>
      </w:r>
      <w:r>
        <w:t xml:space="preserve"> </w:t>
      </w:r>
      <w:r>
        <w:t xml:space="preserve">is not a law enforcement purpose. A motion for</w:t>
      </w:r>
      <w:r>
        <w:t xml:space="preserve"> </w:t>
      </w:r>
      <w:r>
        <w:t xml:space="preserve">return of property under Fed. R. Crim. P. 41(g) is available if a criminal investigation is named.</w:t>
      </w:r>
    </w:p>
    <w:p>
      <w:pPr>
        <w:pStyle w:val="Compact"/>
        <w:numPr>
          <w:ilvl w:val="0"/>
          <w:numId w:val="1001"/>
        </w:numPr>
      </w:pPr>
      <w:r>
        <w:rPr>
          <w:bCs/>
          <w:b/>
        </w:rPr>
        <w:t xml:space="preserve">Authentication.</w:t>
      </w:r>
      <w:r>
        <w:t xml:space="preserve"> </w:t>
      </w:r>
      <w:r>
        <w:t xml:space="preserve">Keep the provenance declaration (</w:t>
      </w:r>
      <w:hyperlink r:id="rId21">
        <w:r>
          <w:rPr>
            <w:rStyle w:val="Hyperlink"/>
          </w:rPr>
          <w:t xml:space="preserve">Form E3-1</w:t>
        </w:r>
      </w:hyperlink>
      <w:r>
        <w:t xml:space="preserve">) and testing records ready; valuation and title</w:t>
      </w:r>
      <w:r>
        <w:t xml:space="preserve"> </w:t>
      </w:r>
      <w:r>
        <w:t xml:space="preserve">disputes will both turn on them.</w:t>
      </w:r>
    </w:p>
    <w:p>
      <w:pPr>
        <w:pStyle w:val="Compact"/>
        <w:numPr>
          <w:ilvl w:val="0"/>
          <w:numId w:val="1001"/>
        </w:numPr>
      </w:pPr>
      <w:r>
        <w:t xml:space="preserve">Related:</w:t>
      </w:r>
      <w:r>
        <w:t xml:space="preserve"> </w:t>
      </w:r>
      <w:hyperlink r:id="rId22">
        <w:r>
          <w:rPr>
            <w:rStyle w:val="Hyperlink"/>
          </w:rPr>
          <w:t xml:space="preserve">Issue E1</w:t>
        </w:r>
      </w:hyperlink>
      <w:r>
        <w:t xml:space="preserve">, E3; Forms E3-1, A3-2.</w:t>
      </w:r>
    </w:p>
    <w:bookmarkEnd w:id="23"/>
    <w:bookmarkEnd w:id="24"/>
    <w:sectPr>
      <w:headerReference w:type="default" r:id="rId15"/>
      <w:footerReference w:type="default" r:id="rId16"/>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1" Type="http://schemas.openxmlformats.org/officeDocument/2006/relationships/hyperlink" Target="https://nhilaw.com/forms/e3-1.html" TargetMode="External"/><Relationship Id="rId22" Type="http://schemas.openxmlformats.org/officeDocument/2006/relationships/hyperlink" Target="https://nhilaw.com/issues/e1.html" TargetMode="External"/><Relationship Id="rId20" Type="http://schemas.openxmlformats.org/officeDocument/2006/relationships/hyperlink" Target="https://nhilaw.com/issues/e3.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footer" Target="footer4.xml"/></Relationships>
</file>

<file path=word/_rels/footnotes.xml.rels><?xml version='1.0' encoding='UTF-8' standalone='yes'?>
<Relationships xmlns="http://schemas.openxmlformats.org/package/2006/relationships"><Relationship Id="rId21" Type="http://schemas.openxmlformats.org/officeDocument/2006/relationships/hyperlink" Target="https://nhilaw.com/forms/e3-1.html" TargetMode="External"/><Relationship Id="rId22" Type="http://schemas.openxmlformats.org/officeDocument/2006/relationships/hyperlink" Target="https://nhilaw.com/issues/e1.html" TargetMode="External"/><Relationship Id="rId20" Type="http://schemas.openxmlformats.org/officeDocument/2006/relationships/hyperlink" Target="https://nhilaw.com/issues/e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E1-1. Notice to the Government of Ownership Claim and Takings Reservation for Privately Held Material</dc:title>
  <dc:creator>nhilaw.com</dc:creator>
  <cp:keywords/>
  <dcterms:created xsi:type="dcterms:W3CDTF">2026-10-19T03:14:00Z</dcterms:created>
  <dcterms:modified xsi:type="dcterms:W3CDTF">2026-10-19T03:14:00Z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