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Taking Recovered Material: Eminent Domain, Just Compensation, and Title Disputes</w:t>
      </w:r>
    </w:p>
    <w:p>
      <w:pPr>
        <w:pStyle w:val="Subtitle"/>
      </w:pPr>
      <w:r>
        <w:t xml:space="preserve">Version 1.10 · October 2026 · nhilaw.com/issues/e1.html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3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A physical appropriation of personal property is a per se taking (</w:t>
      </w:r>
      <w:r>
        <w:rPr>
          <w:iCs/>
          <w:i/>
        </w:rPr>
        <w:t xml:space="preserve">Horne</w:t>
      </w:r>
      <w:r>
        <w:t xml:space="preserve">;</w:t>
      </w:r>
      <w:r>
        <w:t xml:space="preserve"> </w:t>
      </w:r>
      <w:r>
        <w:rPr>
          <w:iCs/>
          <w:i/>
        </w:rPr>
        <w:t xml:space="preserve">Cedar Point</w:t>
      </w:r>
      <w:r>
        <w:t xml:space="preserve">), but property seized as evidence under the police power is not taken for public use (</w:t>
      </w:r>
      <w:r>
        <w:rPr>
          <w:iCs/>
          <w:i/>
        </w:rPr>
        <w:t xml:space="preserve">AmeriSource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Title comes first: government-furnished property stays the government’s (FAR 52.245-1), and material found on private land likely belongs to the landowner (</w:t>
      </w:r>
      <w:hyperlink r:id="rId21">
        <w:r>
          <w:rPr>
            <w:rStyle w:val="Hyperlink"/>
          </w:rPr>
          <w:t xml:space="preserve">Issue E3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H.R. 8800 §1767 would direct a taking with no procedure or compensation mechanism; the Fifth Amendment and the Tucker Act would fill the gap.</w:t>
      </w:r>
    </w:p>
    <w:p>
      <w:pPr>
        <w:pStyle w:val="Compact"/>
        <w:numPr>
          <w:ilvl w:val="0"/>
          <w:numId w:val="1001"/>
        </w:numPr>
      </w:pPr>
      <w:r>
        <w:t xml:space="preserve">Valuation of material with no market will turn on alternative methods (</w:t>
      </w:r>
      <w:r>
        <w:rPr>
          <w:iCs/>
          <w:i/>
        </w:rPr>
        <w:t xml:space="preserve">Commodities Trading</w:t>
      </w:r>
      <w:r>
        <w:t xml:space="preserve">;</w:t>
      </w:r>
      <w:r>
        <w:t xml:space="preserve"> </w:t>
      </w:r>
      <w:r>
        <w:rPr>
          <w:iCs/>
          <w:i/>
        </w:rPr>
        <w:t xml:space="preserve">Toronto, Hamilton &amp; Buffalo</w:t>
      </w:r>
      <w:r>
        <w:t xml:space="preserve">) and on authentication.</w:t>
      </w:r>
    </w:p>
    <w:p>
      <w:pPr>
        <w:pStyle w:val="Compact"/>
        <w:numPr>
          <w:ilvl w:val="0"/>
          <w:numId w:val="1001"/>
        </w:numPr>
      </w:pPr>
      <w:r>
        <w:t xml:space="preserve">Holders should document provenance and chain of custody and never transfer material without a written reservation of rights (</w:t>
      </w:r>
      <w:hyperlink r:id="rId22">
        <w:r>
          <w:rPr>
            <w:rStyle w:val="Hyperlink"/>
          </w:rPr>
          <w:t xml:space="preserve">Form E1-1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3"/>
    <w:bookmarkStart w:id="25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The House-passed UAP Disclosure Act provides that</w:t>
      </w:r>
      <w:r>
        <w:t xml:space="preserve"> </w:t>
      </w:r>
      <w:r>
        <w:t xml:space="preserve">“</w:t>
      </w:r>
      <w:r>
        <w:t xml:space="preserve">[t]he Federal Government shall exercise eminent domain over</w:t>
      </w:r>
      <w:r>
        <w:t xml:space="preserve"> </w:t>
      </w:r>
      <w:r>
        <w:t xml:space="preserve">any and all recovered technologies of unknown origin and biological evidence of non-human intelligence that may</w:t>
      </w:r>
      <w:r>
        <w:t xml:space="preserve"> </w:t>
      </w:r>
      <w:r>
        <w:t xml:space="preserve">be controlled by private persons or entities in the interests of the public good.</w:t>
      </w:r>
      <w:r>
        <w:t xml:space="preserve">”</w:t>
      </w:r>
      <w:r>
        <w:t xml:space="preserve"> </w:t>
      </w:r>
      <w:r>
        <w:t xml:space="preserve">H.R. 8800 (EH) §1767(a)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Issue A3</w:t>
        </w:r>
      </w:hyperlink>
      <w:r>
        <w:t xml:space="preserve">). Whether or not it is enacted, a disclosure would bring disputes over who owns recovered material</w:t>
      </w:r>
      <w:r>
        <w:t xml:space="preserve"> </w:t>
      </w:r>
      <w:r>
        <w:t xml:space="preserve">and what the government must pay to take it.</w:t>
      </w:r>
    </w:p>
    <w:p>
      <w:pPr>
        <w:pStyle w:val="BodyText"/>
      </w:pPr>
      <w:r>
        <w:t xml:space="preserve">Four questions organize the analysis: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Does the holder own anything?</w:t>
      </w:r>
      <w:r>
        <w:t xml:space="preserve"> </w:t>
      </w:r>
      <w:r>
        <w:t xml:space="preserve">Contractors may hold material as government-furnished property (title in</w:t>
      </w:r>
      <w:r>
        <w:t xml:space="preserve"> </w:t>
      </w:r>
      <w:r>
        <w:t xml:space="preserve">the United States), contractor-acquired property under cost-type contracts (title often passes to the</w:t>
      </w:r>
      <w:r>
        <w:t xml:space="preserve"> </w:t>
      </w:r>
      <w:r>
        <w:t xml:space="preserve">government), or property the contractor claims to own outright. Private individuals may hold material found</w:t>
      </w:r>
      <w:r>
        <w:t xml:space="preserve"> </w:t>
      </w:r>
      <w:r>
        <w:t xml:space="preserve">on private land, purchased, or inherited. Where the United States already holds title, there is no taking.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Is the government’s action a taking?</w:t>
      </w:r>
      <w:r>
        <w:t xml:space="preserve"> </w:t>
      </w:r>
      <w:r>
        <w:t xml:space="preserve">A physical appropriation of personal property is a per se taking.</w:t>
      </w:r>
      <w:r>
        <w:t xml:space="preserve"> </w:t>
      </w:r>
      <w:r>
        <w:rPr>
          <w:iCs/>
          <w:i/>
        </w:rPr>
        <w:t xml:space="preserve">Horne v. Department of Agriculture</w:t>
      </w:r>
      <w:r>
        <w:t xml:space="preserve">, 576 U.S. 350, 359-61 (2015) (</w:t>
      </w:r>
      <w:r>
        <w:t xml:space="preserve">“</w:t>
      </w:r>
      <w:r>
        <w:t xml:space="preserve">Nothing in this history suggests that</w:t>
      </w:r>
      <w:r>
        <w:t xml:space="preserve"> </w:t>
      </w:r>
      <w:r>
        <w:t xml:space="preserve">personal property was any less protected against physical appropriation than real property.</w:t>
      </w:r>
      <w:r>
        <w:t xml:space="preserve">”</w:t>
      </w:r>
      <w:r>
        <w:t xml:space="preserve">); see</w:t>
      </w:r>
      <w:r>
        <w:t xml:space="preserve"> </w:t>
      </w:r>
      <w:r>
        <w:rPr>
          <w:iCs/>
          <w:i/>
        </w:rPr>
        <w:t xml:space="preserve">Cedar Point</w:t>
      </w:r>
      <w:r>
        <w:rPr>
          <w:iCs/>
          <w:i/>
        </w:rPr>
        <w:t xml:space="preserve"> </w:t>
      </w:r>
      <w:r>
        <w:rPr>
          <w:iCs/>
          <w:i/>
        </w:rPr>
        <w:t xml:space="preserve">Nursery v. Hassid</w:t>
      </w:r>
      <w:r>
        <w:t xml:space="preserve">, 594 U.S. 139 (2021) (government-authorized physical invasion is a per se taking). Seizure of</w:t>
      </w:r>
      <w:r>
        <w:t xml:space="preserve"> </w:t>
      </w:r>
      <w:r>
        <w:t xml:space="preserve">contraband or property subject to forfeiture under police power is not a taking.</w:t>
      </w:r>
      <w:r>
        <w:t xml:space="preserve"> </w:t>
      </w:r>
      <w:r>
        <w:t xml:space="preserve">The closest modern precedent is the Kennedy assassination films. In</w:t>
      </w:r>
      <w:r>
        <w:t xml:space="preserve"> </w:t>
      </w:r>
      <w:r>
        <w:rPr>
          <w:iCs/>
          <w:i/>
        </w:rPr>
        <w:t xml:space="preserve">Nix v. United States</w:t>
      </w:r>
      <w:r>
        <w:t xml:space="preserve">, 174 Fed. Cl. 260</w:t>
      </w:r>
      <w:r>
        <w:t xml:space="preserve"> </w:t>
      </w:r>
      <w:r>
        <w:t xml:space="preserve">(2024), the son of the man who filmed the assassination from the side opposite Abraham Zapruder alleged that the</w:t>
      </w:r>
      <w:r>
        <w:t xml:space="preserve"> </w:t>
      </w:r>
      <w:r>
        <w:t xml:space="preserve">JFK Records Act took the original film by permanently transferring it to the National Archives. The court held</w:t>
      </w:r>
      <w:r>
        <w:t xml:space="preserve"> </w:t>
      </w:r>
      <w:r>
        <w:t xml:space="preserve">that the claim plausibly alleged a physical taking under</w:t>
      </w:r>
      <w:r>
        <w:t xml:space="preserve"> </w:t>
      </w:r>
      <w:r>
        <w:rPr>
          <w:iCs/>
          <w:i/>
        </w:rPr>
        <w:t xml:space="preserve">Horne</w:t>
      </w:r>
      <w:r>
        <w:t xml:space="preserve">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269-70; that the government’s failure</w:t>
      </w:r>
      <w:r>
        <w:t xml:space="preserve"> </w:t>
      </w:r>
      <w:r>
        <w:t xml:space="preserve">to run any compensation process (as it had for the Zapruder film) was irrelevant, because</w:t>
      </w:r>
      <w:r>
        <w:t xml:space="preserve"> </w:t>
      </w:r>
      <w:r>
        <w:t xml:space="preserve">“</w:t>
      </w:r>
      <w:r>
        <w:t xml:space="preserve">[t]he real question is</w:t>
      </w:r>
      <w:r>
        <w:t xml:space="preserve"> </w:t>
      </w:r>
      <w:r>
        <w:t xml:space="preserve">always whether the government has taken an interest in property,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270-71; and that the limitations</w:t>
      </w:r>
      <w:r>
        <w:t xml:space="preserve"> </w:t>
      </w:r>
      <w:r>
        <w:t xml:space="preserve">period had not run where the owner was diligent and the government concealed its possession,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267-68. A</w:t>
      </w:r>
      <w:r>
        <w:t xml:space="preserve"> </w:t>
      </w:r>
      <w:r>
        <w:t xml:space="preserve">UAP disclosure statute that vests records or material in the government would raise the same claims, and an</w:t>
      </w:r>
      <w:r>
        <w:t xml:space="preserve"> </w:t>
      </w:r>
      <w:r>
        <w:t xml:space="preserve">owner who learns of government possession only on disclosure has an accrual argument.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What process applies?</w:t>
      </w:r>
      <w:r>
        <w:t xml:space="preserve"> </w:t>
      </w:r>
      <w:r>
        <w:t xml:space="preserve">Direct condemnation in federal district court (40 U.S.C. §§3113-3118; Fed. R. Civ.</w:t>
      </w:r>
      <w:r>
        <w:t xml:space="preserve"> </w:t>
      </w:r>
      <w:r>
        <w:t xml:space="preserve">P. 71.1, which governs proceedings</w:t>
      </w:r>
      <w:r>
        <w:t xml:space="preserve"> </w:t>
      </w:r>
      <w:r>
        <w:t xml:space="preserve">“</w:t>
      </w:r>
      <w:r>
        <w:t xml:space="preserve">to condemn real and personal property</w:t>
      </w:r>
      <w:r>
        <w:t xml:space="preserve">”</w:t>
      </w:r>
      <w:r>
        <w:t xml:space="preserve">) if the government condemns; otherwise inverse condemnation in the Court of Federal Claims under the</w:t>
      </w:r>
      <w:r>
        <w:t xml:space="preserve"> </w:t>
      </w:r>
      <w:r>
        <w:t xml:space="preserve">Tucker Act (28 U.S.C. §1491) for claims over $10,000.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What is just compensation?</w:t>
      </w:r>
      <w:r>
        <w:t xml:space="preserve"> </w:t>
      </w:r>
      <w:r>
        <w:t xml:space="preserve">Fair market value at the time of taking, measured by what a willing buyer</w:t>
      </w:r>
      <w:r>
        <w:t xml:space="preserve"> </w:t>
      </w:r>
      <w:r>
        <w:t xml:space="preserve">would pay a willing seller.</w:t>
      </w:r>
      <w:r>
        <w:t xml:space="preserve"> </w:t>
      </w:r>
      <w:r>
        <w:rPr>
          <w:iCs/>
          <w:i/>
        </w:rPr>
        <w:t xml:space="preserve">United States v. 564.54 Acres of Land</w:t>
      </w:r>
      <w:r>
        <w:t xml:space="preserve">, 441 U.S. 506, 511 (1979). For unique</w:t>
      </w:r>
      <w:r>
        <w:t xml:space="preserve"> </w:t>
      </w:r>
      <w:r>
        <w:t xml:space="preserve">items with no market, courts use alternative methods (cost of substitute, income, comparable sales of</w:t>
      </w:r>
      <w:r>
        <w:t xml:space="preserve"> </w:t>
      </w:r>
      <w:r>
        <w:t xml:space="preserve">analogous items) and exclude value created by the government’s own project.</w:t>
      </w:r>
    </w:p>
    <w:p>
      <w:pPr>
        <w:pStyle w:val="FirstParagraph"/>
      </w:pPr>
      <w:r>
        <w:t xml:space="preserve">The deepest problem is valuation. Material of non-human origin has no market, its value depends on knowledge</w:t>
      </w:r>
      <w:r>
        <w:t xml:space="preserve"> </w:t>
      </w:r>
      <w:r>
        <w:t xml:space="preserve">the government may withhold, and much of its value may derive from the government’s own classification and</w:t>
      </w:r>
      <w:r>
        <w:t xml:space="preserve"> </w:t>
      </w:r>
      <w:r>
        <w:t xml:space="preserve">interest. The Area 51 condemnation litigation (</w:t>
      </w:r>
      <w:r>
        <w:rPr>
          <w:iCs/>
          <w:i/>
        </w:rPr>
        <w:t xml:space="preserve">United States v. 400 Acres of Land</w:t>
      </w:r>
      <w:r>
        <w:t xml:space="preserve">, 2017 WL 4797517 (D. Nev.</w:t>
      </w:r>
      <w:r>
        <w:t xml:space="preserve"> </w:t>
      </w:r>
      <w:r>
        <w:t xml:space="preserve">Oct. 24, 2017)) previews the fight: landowners offered survey-based valuations premised on public fascination</w:t>
      </w:r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extraterrestrials and/or government conspiracies,</w:t>
      </w:r>
      <w:r>
        <w:t xml:space="preserve">”</w:t>
      </w:r>
      <w:r>
        <w:t xml:space="preserve"> </w:t>
      </w:r>
      <w:r>
        <w:t xml:space="preserve">and the government moved to exclude them.</w:t>
      </w:r>
    </w:p>
    <w:p>
      <w:r>
        <w:pict>
          <v:rect style="width:0;height:1.5pt" o:hralign="center" o:hrstd="t" o:hr="t"/>
        </w:pict>
      </w:r>
    </w:p>
    <w:bookmarkEnd w:id="25"/>
    <w:bookmarkStart w:id="26" w:name="the-proposed-eminent-domain-provision"/>
    <w:p>
      <w:pPr>
        <w:pStyle w:val="Heading2"/>
      </w:pPr>
      <w:r>
        <w:t xml:space="preserve">2. The proposed eminent domain provision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Text.</w:t>
      </w:r>
      <w:r>
        <w:t xml:space="preserve"> </w:t>
      </w:r>
      <w:r>
        <w:t xml:space="preserve">§1767(a) directs a taking</w:t>
      </w:r>
      <w:r>
        <w:t xml:space="preserve"> </w:t>
      </w:r>
      <w:r>
        <w:t xml:space="preserve">“</w:t>
      </w:r>
      <w:r>
        <w:t xml:space="preserve">in the interests of the public good.</w:t>
      </w:r>
      <w:r>
        <w:t xml:space="preserve">”</w:t>
      </w:r>
      <w:r>
        <w:t xml:space="preserve"> </w:t>
      </w:r>
      <w:r>
        <w:t xml:space="preserve">§1767(b) requires that material be</w:t>
      </w:r>
      <w:r>
        <w:t xml:space="preserve"> </w:t>
      </w:r>
      <w:r>
        <w:t xml:space="preserve">made available to the Review Board for examination</w:t>
      </w:r>
      <w:r>
        <w:t xml:space="preserve"> </w:t>
      </w:r>
      <w:r>
        <w:t xml:space="preserve">“</w:t>
      </w:r>
      <w:r>
        <w:t xml:space="preserve">at a location suitable to the controlling authority</w:t>
      </w:r>
      <w:r>
        <w:t xml:space="preserve">”</w:t>
      </w:r>
      <w:r>
        <w:t xml:space="preserve">; §1767(c)</w:t>
      </w:r>
      <w:r>
        <w:t xml:space="preserve"> </w:t>
      </w:r>
      <w:r>
        <w:t xml:space="preserve">has the Board decide whether material is technology of unknown origin or biological evidence of NHI</w:t>
      </w:r>
      <w:r>
        <w:t xml:space="preserve"> </w:t>
      </w:r>
      <w:r>
        <w:t xml:space="preserve">“</w:t>
      </w:r>
      <w:r>
        <w:t xml:space="preserve">beyond</w:t>
      </w:r>
      <w:r>
        <w:t xml:space="preserve"> </w:t>
      </w:r>
      <w:r>
        <w:t xml:space="preserve">a reasonable doubt,</w:t>
      </w:r>
      <w:r>
        <w:t xml:space="preserve">”</w:t>
      </w:r>
      <w:r>
        <w:t xml:space="preserve"> </w:t>
      </w:r>
      <w:r>
        <w:t xml:space="preserve">whether it qualifies for postponement, and what change in disposition is needed.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Gaps.</w:t>
      </w:r>
      <w:r>
        <w:t xml:space="preserve"> </w:t>
      </w:r>
      <w:r>
        <w:t xml:space="preserve">The provision names no condemning official, supplies no procedure or timetable, and says nothing</w:t>
      </w:r>
      <w:r>
        <w:t xml:space="preserve"> </w:t>
      </w:r>
      <w:r>
        <w:t xml:space="preserve">about compensation. The Fifth Amendment would supply the compensation duty, and the Tucker Act the forum. The</w:t>
      </w:r>
      <w:r>
        <w:t xml:space="preserve"> </w:t>
      </w:r>
      <w:r>
        <w:t xml:space="preserve">general condemnation statute authorizes an officer</w:t>
      </w:r>
      <w:r>
        <w:t xml:space="preserve"> </w:t>
      </w:r>
      <w:r>
        <w:t xml:space="preserve">“</w:t>
      </w:r>
      <w:r>
        <w:t xml:space="preserve">authorized to acquire real estate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r>
        <w:t xml:space="preserve">“</w:t>
      </w:r>
      <w:r>
        <w:t xml:space="preserve">acquire the real</w:t>
      </w:r>
      <w:r>
        <w:t xml:space="preserve"> </w:t>
      </w:r>
      <w:r>
        <w:t xml:space="preserve">estate for the Government by condemnation</w:t>
      </w:r>
      <w:r>
        <w:t xml:space="preserve">”</w:t>
      </w:r>
      <w:r>
        <w:t xml:space="preserve"> </w:t>
      </w:r>
      <w:r>
        <w:t xml:space="preserve">(40 U.S.C. §3113) and does not reach personal property; Congress may need to authorize condemnation of personal property expressly, or the</w:t>
      </w:r>
      <w:r>
        <w:t xml:space="preserve"> </w:t>
      </w:r>
      <w:r>
        <w:t xml:space="preserve">government may proceed by physical seizure and leave owners to inverse condemnation. Existing statutes that</w:t>
      </w:r>
      <w:r>
        <w:t xml:space="preserve"> </w:t>
      </w:r>
      <w:r>
        <w:t xml:space="preserve">reach personal property are narrow. The Defense Production Act no longer contains a requisition power (the</w:t>
      </w:r>
      <w:r>
        <w:t xml:space="preserve"> </w:t>
      </w:r>
      <w:r>
        <w:t xml:space="preserve">current chapter, 50 U.S.C. §4501 et seq., has none). The 1917 wartime procurement statute lets the President,</w:t>
      </w:r>
      <w:r>
        <w:t xml:space="preserve"> </w:t>
      </w:r>
      <w:r>
        <w:t xml:space="preserve">“</w:t>
      </w:r>
      <w:r>
        <w:t xml:space="preserve">[i]n time of war,</w:t>
      </w:r>
      <w:r>
        <w:t xml:space="preserve">”</w:t>
      </w:r>
      <w:r>
        <w:t xml:space="preserve"> </w:t>
      </w:r>
      <w:r>
        <w:t xml:space="preserve">place compulsory orders for</w:t>
      </w:r>
      <w:r>
        <w:t xml:space="preserve"> </w:t>
      </w:r>
      <w:r>
        <w:t xml:space="preserve">“</w:t>
      </w:r>
      <w:r>
        <w:t xml:space="preserve">ships or war material</w:t>
      </w:r>
      <w:r>
        <w:t xml:space="preserve">”</w:t>
      </w:r>
      <w:r>
        <w:t xml:space="preserve"> </w:t>
      </w:r>
      <w:r>
        <w:t xml:space="preserve">(defined to include</w:t>
      </w:r>
      <w:r>
        <w:t xml:space="preserve"> </w:t>
      </w:r>
      <w:r>
        <w:t xml:space="preserve">“</w:t>
      </w:r>
      <w:r>
        <w:t xml:space="preserve">any form of</w:t>
      </w:r>
      <w:r>
        <w:t xml:space="preserve"> </w:t>
      </w:r>
      <w:r>
        <w:t xml:space="preserve">aircraft, and the parts thereof</w:t>
      </w:r>
      <w:r>
        <w:t xml:space="preserve">”</w:t>
      </w:r>
      <w:r>
        <w:t xml:space="preserve">) and</w:t>
      </w:r>
      <w:r>
        <w:t xml:space="preserve"> </w:t>
      </w:r>
      <w:r>
        <w:t xml:space="preserve">“</w:t>
      </w:r>
      <w:r>
        <w:t xml:space="preserve">requisition and take over</w:t>
      </w:r>
      <w:r>
        <w:t xml:space="preserve">”</w:t>
      </w:r>
      <w:r>
        <w:t xml:space="preserve"> </w:t>
      </w:r>
      <w:r>
        <w:t xml:space="preserve">factories, with</w:t>
      </w:r>
      <w:r>
        <w:t xml:space="preserve"> </w:t>
      </w:r>
      <w:r>
        <w:t xml:space="preserve">“</w:t>
      </w:r>
      <w:r>
        <w:t xml:space="preserve">just compensation</w:t>
      </w:r>
      <w:r>
        <w:t xml:space="preserve">”</w:t>
      </w:r>
      <w:r>
        <w:t xml:space="preserve"> </w:t>
      </w:r>
      <w:r>
        <w:t xml:space="preserve">set by</w:t>
      </w:r>
      <w:r>
        <w:t xml:space="preserve"> </w:t>
      </w:r>
      <w:r>
        <w:t xml:space="preserve">the President, payment of 50 percent of that amount if the owner objects, and suit for the rest under 28 U.S.C.</w:t>
      </w:r>
      <w:r>
        <w:t xml:space="preserve"> </w:t>
      </w:r>
      <w:r>
        <w:t xml:space="preserve">§1346 or §1491 (50 U.S.C. §82(a), (b), (d)). It is limited to wartime and aimed at production, so it would not</w:t>
      </w:r>
      <w:r>
        <w:t xml:space="preserve"> </w:t>
      </w:r>
      <w:r>
        <w:t xml:space="preserve">support peacetime seizure of a privately held artifact. Military land-acquisition authority (10 U.S.C. §2663)</w:t>
      </w:r>
      <w:r>
        <w:t xml:space="preserve"> </w:t>
      </w:r>
      <w:r>
        <w:t xml:space="preserve">covers only</w:t>
      </w:r>
      <w:r>
        <w:t xml:space="preserve"> </w:t>
      </w:r>
      <w:r>
        <w:t xml:space="preserve">“</w:t>
      </w:r>
      <w:r>
        <w:t xml:space="preserve">interest[s] in land.</w:t>
      </w:r>
      <w:r>
        <w:t xml:space="preserve">”</w:t>
      </w:r>
      <w:r>
        <w:t xml:space="preserve"> </w:t>
      </w:r>
      <w:r>
        <w:t xml:space="preserve">Absent new legislation, then, a taking of recovered material would most</w:t>
      </w:r>
      <w:r>
        <w:t xml:space="preserve"> </w:t>
      </w:r>
      <w:r>
        <w:t xml:space="preserve">likely occur by physical seizure followed by a Tucker Act claim.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“</w:t>
      </w:r>
      <w:r>
        <w:rPr>
          <w:bCs/>
          <w:b/>
        </w:rPr>
        <w:t xml:space="preserve">Controlling authority</w:t>
      </w:r>
      <w:r>
        <w:rPr>
          <w:bCs/>
          <w:b/>
        </w:rPr>
        <w:t xml:space="preserve">”</w:t>
      </w:r>
      <w:r>
        <w:t xml:space="preserve"> </w:t>
      </w:r>
      <w:r>
        <w:t xml:space="preserve">(§1773(5)) includes any</w:t>
      </w:r>
      <w:r>
        <w:t xml:space="preserve"> </w:t>
      </w:r>
      <w:r>
        <w:t xml:space="preserve">“</w:t>
      </w:r>
      <w:r>
        <w:t xml:space="preserve">commercial company, academic institution, or private</w:t>
      </w:r>
      <w:r>
        <w:t xml:space="preserve"> </w:t>
      </w:r>
      <w:r>
        <w:t xml:space="preserve">sector entity in physical possession</w:t>
      </w:r>
      <w:r>
        <w:t xml:space="preserve">”</w:t>
      </w:r>
      <w:r>
        <w:t xml:space="preserve"> </w:t>
      </w:r>
      <w:r>
        <w:t xml:space="preserve">of the material, and state and local governments. Takings of state</w:t>
      </w:r>
      <w:r>
        <w:t xml:space="preserve"> </w:t>
      </w:r>
      <w:r>
        <w:t xml:space="preserve">property raise intergovernmental issues (federal power to condemn state property exists,</w:t>
      </w:r>
      <w:r>
        <w:t xml:space="preserve"> </w:t>
      </w:r>
      <w:r>
        <w:rPr>
          <w:iCs/>
          <w:i/>
        </w:rPr>
        <w:t xml:space="preserve">Oklahoma ex rel.</w:t>
      </w:r>
      <w:r>
        <w:rPr>
          <w:iCs/>
          <w:i/>
        </w:rPr>
        <w:t xml:space="preserve"> </w:t>
      </w:r>
      <w:r>
        <w:rPr>
          <w:iCs/>
          <w:i/>
        </w:rPr>
        <w:t xml:space="preserve">Phillips v. Guy F. Atkinson Co.</w:t>
      </w:r>
      <w:r>
        <w:t xml:space="preserve">, 313 U.S. 508 (1941)).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Public use.</w:t>
      </w:r>
      <w:r>
        <w:t xml:space="preserve"> </w:t>
      </w:r>
      <w:r>
        <w:t xml:space="preserve">National security, scientific study, and public disclosure plainly qualify.</w:t>
      </w:r>
      <w:r>
        <w:t xml:space="preserve"> </w:t>
      </w:r>
      <w:r>
        <w:rPr>
          <w:iCs/>
          <w:i/>
        </w:rPr>
        <w:t xml:space="preserve">Kelo v. City of</w:t>
      </w:r>
      <w:r>
        <w:rPr>
          <w:iCs/>
          <w:i/>
        </w:rPr>
        <w:t xml:space="preserve"> </w:t>
      </w:r>
      <w:r>
        <w:rPr>
          <w:iCs/>
          <w:i/>
        </w:rPr>
        <w:t xml:space="preserve">New London</w:t>
      </w:r>
      <w:r>
        <w:t xml:space="preserve">, 545 U.S. 469 (2005) (broad public purpose).</w:t>
      </w:r>
    </w:p>
    <w:bookmarkEnd w:id="26"/>
    <w:bookmarkStart w:id="32" w:name="title-questions"/>
    <w:p>
      <w:pPr>
        <w:pStyle w:val="Heading2"/>
      </w:pPr>
      <w:r>
        <w:t xml:space="preserve">3. Title questions</w:t>
      </w:r>
    </w:p>
    <w:bookmarkStart w:id="27" w:name="contractors"/>
    <w:p>
      <w:pPr>
        <w:pStyle w:val="Heading3"/>
      </w:pPr>
      <w:r>
        <w:t xml:space="preserve">3.1 Contractors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Government property clause</w:t>
      </w:r>
      <w:r>
        <w:t xml:space="preserve">, FAR 52.245-1(e):</w:t>
      </w:r>
      <w:r>
        <w:t xml:space="preserve"> </w:t>
      </w:r>
      <w:r>
        <w:t xml:space="preserve">“</w:t>
      </w:r>
      <w:r>
        <w:t xml:space="preserve">The Government shall retain title to all</w:t>
      </w:r>
      <w:r>
        <w:t xml:space="preserve"> </w:t>
      </w:r>
      <w:r>
        <w:t xml:space="preserve">Government-furnished property,</w:t>
      </w:r>
      <w:r>
        <w:t xml:space="preserve">”</w:t>
      </w:r>
      <w:r>
        <w:t xml:space="preserve"> </w:t>
      </w:r>
      <w:r>
        <w:t xml:space="preserve">and title is not affected by incorporation into or attachment to non-government</w:t>
      </w:r>
      <w:r>
        <w:t xml:space="preserve"> </w:t>
      </w:r>
      <w:r>
        <w:t xml:space="preserve">property. Under cost-reimbursement and time-and-material contracts, title to property purchased as a direct</w:t>
      </w:r>
      <w:r>
        <w:t xml:space="preserve"> </w:t>
      </w:r>
      <w:r>
        <w:t xml:space="preserve">cost</w:t>
      </w:r>
      <w:r>
        <w:t xml:space="preserve"> </w:t>
      </w:r>
      <w:r>
        <w:t xml:space="preserve">“</w:t>
      </w:r>
      <w:r>
        <w:t xml:space="preserve">shall pass to and vest in the Government upon the vendor’s delivery,</w:t>
      </w:r>
      <w:r>
        <w:t xml:space="preserve">”</w:t>
      </w:r>
      <w:r>
        <w:t xml:space="preserve"> </w:t>
      </w:r>
      <w:r>
        <w:t xml:space="preserve">and title to other reimbursable</w:t>
      </w:r>
      <w:r>
        <w:t xml:space="preserve"> </w:t>
      </w:r>
      <w:r>
        <w:t xml:space="preserve">property vests on issuance for performance, commencement of processing, or reimbursement. Under fixed-price</w:t>
      </w:r>
      <w:r>
        <w:t xml:space="preserve"> </w:t>
      </w:r>
      <w:r>
        <w:t xml:space="preserve">contracts without financing or title provisions, the contractor retains title to property acquired for use on</w:t>
      </w:r>
      <w:r>
        <w:t xml:space="preserve"> </w:t>
      </w:r>
      <w:r>
        <w:t xml:space="preserve">the contract except deliverable end items.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Classified contracts</w:t>
      </w:r>
      <w:r>
        <w:t xml:space="preserve"> </w:t>
      </w:r>
      <w:r>
        <w:t xml:space="preserve">may contain special property and security clauses; title to material provided under</w:t>
      </w:r>
      <w:r>
        <w:t xml:space="preserve"> </w:t>
      </w:r>
      <w:r>
        <w:t xml:space="preserve">a SAP is likely in the government.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IRAD-funded work</w:t>
      </w:r>
      <w:r>
        <w:t xml:space="preserve">: material acquired with contractor IRAD funds may be contractor property unless a</w:t>
      </w:r>
      <w:r>
        <w:t xml:space="preserve"> </w:t>
      </w:r>
      <w:r>
        <w:t xml:space="preserve">contract or agreement says otherwise; §1687(b) (</w:t>
      </w:r>
      <w:hyperlink r:id="rId24">
        <w:r>
          <w:rPr>
            <w:rStyle w:val="Hyperlink"/>
          </w:rPr>
          <w:t xml:space="preserve">Issue A3</w:t>
        </w:r>
      </w:hyperlink>
      <w:r>
        <w:t xml:space="preserve">, D2) affects cost allowability and leaves title untouched.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Implication.</w:t>
      </w:r>
      <w:r>
        <w:t xml:space="preserve"> </w:t>
      </w:r>
      <w:r>
        <w:t xml:space="preserve">If the government furnished the material, a contractor holding it has no takings claim and</w:t>
      </w:r>
      <w:r>
        <w:t xml:space="preserve"> </w:t>
      </w:r>
      <w:r>
        <w:t xml:space="preserve">must return it on demand; disputes go to the contracting officer and the Contract Disputes Act (41 U.S.C.</w:t>
      </w:r>
      <w:r>
        <w:t xml:space="preserve"> </w:t>
      </w:r>
      <w:r>
        <w:t xml:space="preserve">§§7101-7109), with the</w:t>
      </w:r>
      <w:r>
        <w:t xml:space="preserve"> </w:t>
      </w:r>
      <w:r>
        <w:rPr>
          <w:iCs/>
          <w:i/>
        </w:rPr>
        <w:t xml:space="preserve">General Dynamics</w:t>
      </w:r>
      <w:r>
        <w:t xml:space="preserve"> </w:t>
      </w:r>
      <w:r>
        <w:t xml:space="preserve">constraint if state secrets block litigation.</w:t>
      </w:r>
    </w:p>
    <w:bookmarkEnd w:id="27"/>
    <w:bookmarkStart w:id="28" w:name="private-finders-and-owners"/>
    <w:p>
      <w:pPr>
        <w:pStyle w:val="Heading3"/>
      </w:pPr>
      <w:r>
        <w:t xml:space="preserve">3.2 Private finders and owners</w:t>
      </w:r>
    </w:p>
    <w:p>
      <w:pPr>
        <w:pStyle w:val="FirstParagraph"/>
      </w:pPr>
      <w:r>
        <w:t xml:space="preserve">Under the common law of finds, property found on private land generally belongs to the landowner if mislaid or</w:t>
      </w:r>
      <w:r>
        <w:t xml:space="preserve"> </w:t>
      </w:r>
      <w:r>
        <w:t xml:space="preserve">embedded, and to the finder if lost, subject to state statutes. Meteorites are treated as part of the land in</w:t>
      </w:r>
      <w:r>
        <w:t xml:space="preserve"> </w:t>
      </w:r>
      <w:r>
        <w:t xml:space="preserve">most U.S. jurisdictions (</w:t>
      </w:r>
      <w:r>
        <w:rPr>
          <w:iCs/>
          <w:i/>
        </w:rPr>
        <w:t xml:space="preserve">Goddard v. Winchell</w:t>
      </w:r>
      <w:r>
        <w:t xml:space="preserve">, 86 Iowa 71 (1892)); on federal land, the government claims</w:t>
      </w:r>
      <w:r>
        <w:t xml:space="preserve"> </w:t>
      </w:r>
      <w:r>
        <w:t xml:space="preserve">them (</w:t>
      </w:r>
      <w:hyperlink r:id="rId21">
        <w:r>
          <w:rPr>
            <w:rStyle w:val="Hyperlink"/>
          </w:rPr>
          <w:t xml:space="preserve">Issue E3</w:t>
        </w:r>
      </w:hyperlink>
      <w:r>
        <w:t xml:space="preserve">). Material on federal land, or from a craft the government claims, raises federal ownership</w:t>
      </w:r>
      <w:r>
        <w:t xml:space="preserve"> </w:t>
      </w:r>
      <w:r>
        <w:t xml:space="preserve">claims (Property Clause; ARPA analogies).</w:t>
      </w:r>
    </w:p>
    <w:bookmarkEnd w:id="28"/>
    <w:bookmarkStart w:id="30" w:name="government-claims-without-taking"/>
    <w:p>
      <w:pPr>
        <w:pStyle w:val="Heading3"/>
      </w:pPr>
      <w:r>
        <w:t xml:space="preserve">3.3 Government claims without taking</w:t>
      </w:r>
    </w:p>
    <w:p>
      <w:pPr>
        <w:pStyle w:val="FirstParagraph"/>
      </w:pPr>
      <w:r>
        <w:t xml:space="preserve">The government may assert that material is government property (for example, debris from a government</w:t>
      </w:r>
      <w:r>
        <w:t xml:space="preserve"> </w:t>
      </w:r>
      <w:r>
        <w:t xml:space="preserve">operation), contraband, or subject to forfeiture. One forfeiture statute already reaches some craft: an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 </w:t>
      </w:r>
      <w:r>
        <w:t xml:space="preserve">seized under DoD’s counter-drone authority</w:t>
      </w:r>
      <w:r>
        <w:t xml:space="preserve"> </w:t>
      </w:r>
      <w:r>
        <w:t xml:space="preserve">“</w:t>
      </w:r>
      <w:r>
        <w:t xml:space="preserve">is subject to forfeiture to the United States</w:t>
      </w:r>
      <w:r>
        <w:t xml:space="preserve">”</w:t>
      </w:r>
      <w:r>
        <w:t xml:space="preserve"> </w:t>
      </w:r>
      <w:r>
        <w:t xml:space="preserve">(10 U.S.C. §130i(c)), and the definition of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 </w:t>
      </w:r>
      <w:r>
        <w:t xml:space="preserve">turns on the absence of</w:t>
      </w:r>
      <w:r>
        <w:t xml:space="preserve"> </w:t>
      </w:r>
      <w:r>
        <w:t xml:space="preserve">“</w:t>
      </w:r>
      <w:r>
        <w:t xml:space="preserve">direct human</w:t>
      </w:r>
      <w:r>
        <w:t xml:space="preserve"> </w:t>
      </w:r>
      <w:r>
        <w:t xml:space="preserve">intervention from within or on the aircraft</w:t>
      </w:r>
      <w:r>
        <w:t xml:space="preserve">”</w:t>
      </w:r>
      <w:r>
        <w:t xml:space="preserve"> </w:t>
      </w:r>
      <w:r>
        <w:t xml:space="preserve">(49 U.S.C. §44801(11)), which literally fits a craft with</w:t>
      </w:r>
      <w:r>
        <w:t xml:space="preserve"> </w:t>
      </w:r>
      <w:r>
        <w:t xml:space="preserve">non-human occupants (</w:t>
      </w:r>
      <w:hyperlink r:id="rId29">
        <w:r>
          <w:rPr>
            <w:rStyle w:val="Hyperlink"/>
          </w:rPr>
          <w:t xml:space="preserve">Issue F2</w:t>
        </w:r>
      </w:hyperlink>
      <w:r>
        <w:t xml:space="preserve">, §2.1). The authority applies only to threats to designated DoD facilities, so it</w:t>
      </w:r>
      <w:r>
        <w:t xml:space="preserve"> </w:t>
      </w:r>
      <w:r>
        <w:t xml:space="preserve">would not reach material a private person found elsewhere. Police-power seizures of contraband are not takings (</w:t>
      </w:r>
      <w:r>
        <w:rPr>
          <w:iCs/>
          <w:i/>
        </w:rPr>
        <w:t xml:space="preserve">Bennis</w:t>
      </w:r>
      <w:r>
        <w:rPr>
          <w:iCs/>
          <w:i/>
        </w:rPr>
        <w:t xml:space="preserve"> </w:t>
      </w:r>
      <w:r>
        <w:rPr>
          <w:iCs/>
          <w:i/>
        </w:rPr>
        <w:t xml:space="preserve">v. Michigan</w:t>
      </w:r>
      <w:r>
        <w:t xml:space="preserve">, 516 U.S. 442 (1996)), and the Federal Circuit applies the same rule to property seized as evidence:</w:t>
      </w:r>
      <w:r>
        <w:t xml:space="preserve"> </w:t>
      </w:r>
      <w:r>
        <w:t xml:space="preserve">“</w:t>
      </w:r>
      <w:r>
        <w:t xml:space="preserve">[p]roperty seized and retained pursuant to the police power is not taken for a</w:t>
      </w:r>
      <w:r>
        <w:t xml:space="preserve"> </w:t>
      </w:r>
      <w:r>
        <w:t xml:space="preserve">‘</w:t>
      </w:r>
      <w:r>
        <w:t xml:space="preserve">public use</w:t>
      </w:r>
      <w:r>
        <w:t xml:space="preserve">’</w:t>
      </w:r>
      <w:r>
        <w:t xml:space="preserve"> </w:t>
      </w:r>
      <w:r>
        <w:t xml:space="preserve">in the context of the</w:t>
      </w:r>
      <w:r>
        <w:t xml:space="preserve"> </w:t>
      </w:r>
      <w:r>
        <w:t xml:space="preserve">Takings Clause.</w:t>
      </w:r>
      <w:r>
        <w:t xml:space="preserve">”</w:t>
      </w:r>
      <w:r>
        <w:t xml:space="preserve"> </w:t>
      </w:r>
      <w:r>
        <w:rPr>
          <w:iCs/>
          <w:i/>
        </w:rPr>
        <w:t xml:space="preserve">AmeriSource Corp. v. United States</w:t>
      </w:r>
      <w:r>
        <w:t xml:space="preserve">, 525 F.3d 1149, 1153 (Fed. Cir. 2008). That is the</w:t>
      </w:r>
      <w:r>
        <w:t xml:space="preserve"> </w:t>
      </w:r>
      <w:r>
        <w:t xml:space="preserve">government’s best answer to a takings claim for material seized in an investigation (for example, debris taken as</w:t>
      </w:r>
      <w:r>
        <w:t xml:space="preserve"> </w:t>
      </w:r>
      <w:r>
        <w:t xml:space="preserve">evidence of a crash or of a security violation). The holder’s reply is that the seizure was not in fact for a law</w:t>
      </w:r>
      <w:r>
        <w:t xml:space="preserve"> </w:t>
      </w:r>
      <w:r>
        <w:t xml:space="preserve">enforcement purpose, or that the government kept the material after any investigation ended for a different use,</w:t>
      </w:r>
      <w:r>
        <w:t xml:space="preserve"> </w:t>
      </w:r>
      <w:r>
        <w:t xml:space="preserve">which is a taking. DoD’s own procedure for material its forces recover is the Joint Staff’s 2023 reporting order, which</w:t>
      </w:r>
      <w:r>
        <w:t xml:space="preserve"> </w:t>
      </w:r>
      <w:r>
        <w:t xml:space="preserve">directs that recovered</w:t>
      </w:r>
      <w:r>
        <w:t xml:space="preserve"> </w:t>
      </w:r>
      <w:r>
        <w:t xml:space="preserve">“</w:t>
      </w:r>
      <w:r>
        <w:t xml:space="preserve">UAP objects and material</w:t>
      </w:r>
      <w:r>
        <w:t xml:space="preserve">”</w:t>
      </w:r>
      <w:r>
        <w:t xml:space="preserve"> </w:t>
      </w:r>
      <w:r>
        <w:t xml:space="preserve">be secured under Foreign Material Exploitation policies</w:t>
      </w:r>
      <w:r>
        <w:t xml:space="preserve"> </w:t>
      </w:r>
      <w:r>
        <w:t xml:space="preserve">and transferred to AARO-designated locations within 30 days with a chain-of-custody record (¶3.F.1); it</w:t>
      </w:r>
      <w:r>
        <w:t xml:space="preserve"> </w:t>
      </w:r>
      <w:r>
        <w:t xml:space="preserve">does not address material held by private parties. Joint Staff J3 GENADMIN,</w:t>
      </w:r>
      <w:r>
        <w:t xml:space="preserve"> </w:t>
      </w:r>
      <w:r>
        <w:t xml:space="preserve">“</w:t>
      </w:r>
      <w:r>
        <w:t xml:space="preserve">Unidentified Anomalous Phenomena Reporting and Material Disposition,</w:t>
      </w:r>
      <w:r>
        <w:t xml:space="preserve">”</w:t>
      </w:r>
      <w:r>
        <w:t xml:space="preserve"> </w:t>
      </w:r>
      <w:r>
        <w:t xml:space="preserve">DTG 191452Z May 2023, released under FOIA as DoD 24-F-0067. Classification does not by itself transfer title; information may be</w:t>
      </w:r>
      <w:r>
        <w:t xml:space="preserve"> </w:t>
      </w:r>
      <w:r>
        <w:t xml:space="preserve">classified, but the physical object’s ownership is a property question.</w:t>
      </w:r>
    </w:p>
    <w:bookmarkEnd w:id="30"/>
    <w:bookmarkStart w:id="31" w:name="Xceec2068fbfd05ea53e89a342f2156e758b04aa"/>
    <w:p>
      <w:pPr>
        <w:pStyle w:val="Heading3"/>
      </w:pPr>
      <w:r>
        <w:t xml:space="preserve">3.4 How contractors have treated recovered material</w:t>
      </w:r>
    </w:p>
    <w:p>
      <w:pPr>
        <w:pStyle w:val="FirstParagraph"/>
      </w:pPr>
      <w:r>
        <w:t xml:space="preserve">A former director of the Navy’s UAP Task Force describes a 2009 effort to have a contractor transfer a recovered craft</w:t>
      </w:r>
      <w:r>
        <w:t xml:space="preserve"> </w:t>
      </w:r>
      <w:r>
        <w:t xml:space="preserve">to the Defense Intelligence Agency under a new special access program, which stalled when a CIA official refused to</w:t>
      </w:r>
      <w:r>
        <w:t xml:space="preserve"> </w:t>
      </w:r>
      <w:r>
        <w:t xml:space="preserve">approve it 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chs. 8-9 (2026)). If accurate, the episode bears on title: an offer to</w:t>
      </w:r>
      <w:r>
        <w:t xml:space="preserve"> </w:t>
      </w:r>
      <w:r>
        <w:t xml:space="preserve">“</w:t>
      </w:r>
      <w:r>
        <w:t xml:space="preserve">transfer</w:t>
      </w:r>
      <w:r>
        <w:t xml:space="preserve">”</w:t>
      </w:r>
      <w:r>
        <w:t xml:space="preserve"> </w:t>
      </w:r>
      <w:r>
        <w:t xml:space="preserve">material to the government is evidence that the contractor treated itself as the holder, while the</w:t>
      </w:r>
      <w:r>
        <w:t xml:space="preserve"> </w:t>
      </w:r>
      <w:r>
        <w:t xml:space="preserve">government’s control over whether the transfer could happen points to government ownership. Either way, counsel for a</w:t>
      </w:r>
      <w:r>
        <w:t xml:space="preserve"> </w:t>
      </w:r>
      <w:r>
        <w:t xml:space="preserve">contractor should find the contract, task order, or agreement under which the material is held before any dispute</w:t>
      </w:r>
      <w:r>
        <w:t xml:space="preserve"> </w:t>
      </w:r>
      <w:r>
        <w:t xml:space="preserve">begins.</w:t>
      </w:r>
    </w:p>
    <w:bookmarkEnd w:id="31"/>
    <w:bookmarkEnd w:id="32"/>
    <w:bookmarkStart w:id="34" w:name="process"/>
    <w:p>
      <w:pPr>
        <w:pStyle w:val="Heading2"/>
      </w:pPr>
      <w:r>
        <w:t xml:space="preserve">4. Process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Direct condemnation</w:t>
      </w:r>
      <w:r>
        <w:t xml:space="preserve">: the government files a complaint in condemnation and deposits estimated</w:t>
      </w:r>
      <w:r>
        <w:t xml:space="preserve"> </w:t>
      </w:r>
      <w:r>
        <w:t xml:space="preserve">compensation (Declaration of Taking Act, 40 U.S.C. §3114); title passes on filing and deposit; a jury or</w:t>
      </w:r>
      <w:r>
        <w:t xml:space="preserve"> </w:t>
      </w:r>
      <w:r>
        <w:t xml:space="preserve">commission determines compensation.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Inverse condemnation</w:t>
      </w:r>
      <w:r>
        <w:t xml:space="preserve">: the owner sues in the Court of Federal Claims; six-year limitations period (28</w:t>
      </w:r>
      <w:r>
        <w:t xml:space="preserve"> </w:t>
      </w:r>
      <w:r>
        <w:t xml:space="preserve">U.S.C. §2501); classified evidence handled under the CFC’s guidelines (</w:t>
      </w:r>
      <w:hyperlink r:id="rId33">
        <w:r>
          <w:rPr>
            <w:rStyle w:val="Hyperlink"/>
          </w:rPr>
          <w:t xml:space="preserve">Issue A1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State secrets</w:t>
      </w:r>
      <w:r>
        <w:t xml:space="preserve">: the government may assert the privilege in valuation proceedings; courts should not allow</w:t>
      </w:r>
      <w:r>
        <w:t xml:space="preserve"> </w:t>
      </w:r>
      <w:r>
        <w:t xml:space="preserve">the government to take property and then refuse to litigate its value. If the privilege prevents valuation,</w:t>
      </w:r>
      <w:r>
        <w:t xml:space="preserve"> </w:t>
      </w:r>
      <w:r>
        <w:t xml:space="preserve">courts may fashion remedies or Congress should supply a statutory compensation scheme.</w:t>
      </w:r>
    </w:p>
    <w:bookmarkEnd w:id="34"/>
    <w:bookmarkStart w:id="36" w:name="valuation"/>
    <w:p>
      <w:pPr>
        <w:pStyle w:val="Heading2"/>
      </w:pPr>
      <w:r>
        <w:t xml:space="preserve">5. Valuation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Fair market value</w:t>
      </w:r>
      <w:r>
        <w:t xml:space="preserve"> </w:t>
      </w:r>
      <w:r>
        <w:t xml:space="preserve">is the standard; for items without a market, courts accept other methods.</w:t>
      </w:r>
      <w:r>
        <w:t xml:space="preserve"> 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50 Acres of Land</w:t>
      </w:r>
      <w:r>
        <w:t xml:space="preserve">, 469 U.S. 24 (1984) (substitute facilities not required for public condemnees).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Project influence rule</w:t>
      </w:r>
      <w:r>
        <w:t xml:space="preserve">: value attributable to the government project itself is excluded. *United States</w:t>
      </w:r>
    </w:p>
    <w:p>
      <w:pPr>
        <w:pStyle w:val="Compact"/>
        <w:numPr>
          <w:ilvl w:val="0"/>
          <w:numId w:val="1000"/>
        </w:numPr>
      </w:pPr>
      <w:r>
        <w:t xml:space="preserve">v. Miller*, 317 U.S. 369 (1943). The government will argue that any value of UAP material depends on the</w:t>
      </w:r>
      <w:r>
        <w:t xml:space="preserve"> </w:t>
      </w:r>
      <w:r>
        <w:t xml:space="preserve">government program and on classified knowledge.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When there is no market</w:t>
      </w:r>
      <w:r>
        <w:t xml:space="preserve">:</w:t>
      </w:r>
      <w:r>
        <w:t xml:space="preserve"> </w:t>
      </w:r>
      <w:r>
        <w:t xml:space="preserve">“</w:t>
      </w:r>
      <w:r>
        <w:t xml:space="preserve">when market value has been too difficult to find, or when its application would</w:t>
      </w:r>
      <w:r>
        <w:t xml:space="preserve"> </w:t>
      </w:r>
      <w:r>
        <w:t xml:space="preserve">result in manifest injustice to owner or public, courts have fashioned and applied other standards.</w:t>
      </w:r>
      <w:r>
        <w:t xml:space="preserve">”</w:t>
      </w:r>
      <w:r>
        <w:t xml:space="preserve"> 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Commodities Trading Corp.</w:t>
      </w:r>
      <w:r>
        <w:t xml:space="preserve">, 339 U.S. 121, 123 (1950). Where there is</w:t>
      </w:r>
      <w:r>
        <w:t xml:space="preserve"> </w:t>
      </w:r>
      <w:r>
        <w:t xml:space="preserve">“</w:t>
      </w:r>
      <w:r>
        <w:t xml:space="preserve">no market</w:t>
      </w:r>
      <w:r>
        <w:t xml:space="preserve">”</w:t>
      </w:r>
      <w:r>
        <w:t xml:space="preserve"> </w:t>
      </w:r>
      <w:r>
        <w:t xml:space="preserve">for the property,</w:t>
      </w:r>
      <w:r>
        <w:t xml:space="preserve"> </w:t>
      </w:r>
      <w:r>
        <w:t xml:space="preserve">scattered sales of similar items still count, at reduced weight,</w:t>
      </w:r>
      <w:r>
        <w:t xml:space="preserve"> </w:t>
      </w:r>
      <w:r>
        <w:rPr>
          <w:iCs/>
          <w:i/>
        </w:rPr>
        <w:t xml:space="preserve">United States v. Toronto, Hamilton &amp; Buffalo</w:t>
      </w:r>
      <w:r>
        <w:rPr>
          <w:iCs/>
          <w:i/>
        </w:rPr>
        <w:t xml:space="preserve"> </w:t>
      </w:r>
      <w:r>
        <w:rPr>
          <w:iCs/>
          <w:i/>
        </w:rPr>
        <w:t xml:space="preserve">Navigation Co.</w:t>
      </w:r>
      <w:r>
        <w:t xml:space="preserve">, 338 U.S. 396, 402 (1949), and evidence of an unusual demand that would ordinarily be excluded may</w:t>
      </w:r>
      <w:r>
        <w:t xml:space="preserve"> </w:t>
      </w:r>
      <w:r>
        <w:t xml:space="preserve">be considered,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408-09. A temporary taking (for example, a government</w:t>
      </w:r>
      <w:r>
        <w:t xml:space="preserve"> </w:t>
      </w:r>
      <w:r>
        <w:t xml:space="preserve">“</w:t>
      </w:r>
      <w:r>
        <w:t xml:space="preserve">examination</w:t>
      </w:r>
      <w:r>
        <w:t xml:space="preserve">”</w:t>
      </w:r>
      <w:r>
        <w:t xml:space="preserve"> </w:t>
      </w:r>
      <w:r>
        <w:t xml:space="preserve">that keeps material</w:t>
      </w:r>
      <w:r>
        <w:t xml:space="preserve"> </w:t>
      </w:r>
      <w:r>
        <w:t xml:space="preserve">for a period) is measured by the rental value for the period held.</w:t>
      </w:r>
      <w:r>
        <w:t xml:space="preserve"> </w:t>
      </w:r>
      <w:r>
        <w:rPr>
          <w:iCs/>
          <w:i/>
        </w:rPr>
        <w:t xml:space="preserve">Kimball Laundry Co. v. United States</w:t>
      </w:r>
      <w:r>
        <w:t xml:space="preserve">, 338</w:t>
      </w:r>
      <w:r>
        <w:t xml:space="preserve"> </w:t>
      </w:r>
      <w:r>
        <w:t xml:space="preserve">U.S. 1, 6-7 (1949).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Scientific and cultural value</w:t>
      </w:r>
      <w:r>
        <w:t xml:space="preserve">: courts have struggled to value unique objects (meteorites, fossils,</w:t>
      </w:r>
      <w:r>
        <w:t xml:space="preserve"> </w:t>
      </w:r>
      <w:r>
        <w:t xml:space="preserve">artifacts). Comparable sales of meteorites and rare specimens may supply a floor. The Zapruder film, taken under</w:t>
      </w:r>
      <w:r>
        <w:t xml:space="preserve"> </w:t>
      </w:r>
      <w:r>
        <w:t xml:space="preserve">the JFK Records Act, was valued through a negotiated arbitration rather than litigation (see</w:t>
      </w:r>
      <w:r>
        <w:t xml:space="preserve"> </w:t>
      </w:r>
      <w:r>
        <w:rPr>
          <w:iCs/>
          <w:i/>
        </w:rPr>
        <w:t xml:space="preserve">Nix</w:t>
      </w:r>
      <w:r>
        <w:t xml:space="preserve">, 174 Fed. Cl. at</w:t>
      </w:r>
      <w:r>
        <w:t xml:space="preserve"> </w:t>
      </w:r>
      <w:r>
        <w:t xml:space="preserve">270), which is a model for a statutory valuation panel.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Speculative value</w:t>
      </w:r>
      <w:r>
        <w:t xml:space="preserve">: expert opinions premised on speculative uses or public fascination face exclusion</w:t>
      </w:r>
      <w:r>
        <w:t xml:space="preserve"> </w:t>
      </w:r>
      <w:r>
        <w:t xml:space="preserve">under Rule 702, as in the</w:t>
      </w:r>
      <w:r>
        <w:t xml:space="preserve"> </w:t>
      </w:r>
      <w:r>
        <w:rPr>
          <w:iCs/>
          <w:i/>
        </w:rPr>
        <w:t xml:space="preserve">400 Acres</w:t>
      </w:r>
      <w:r>
        <w:t xml:space="preserve"> </w:t>
      </w:r>
      <w:r>
        <w:t xml:space="preserve">motions.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Authentication</w:t>
      </w:r>
      <w:r>
        <w:t xml:space="preserve">: before value, the claimant must prove what the material is. Federal Rule of Evidence 901</w:t>
      </w:r>
      <w:r>
        <w:t xml:space="preserve"> </w:t>
      </w:r>
      <w:r>
        <w:t xml:space="preserve">requires evidence</w:t>
      </w:r>
      <w:r>
        <w:t xml:space="preserve"> </w:t>
      </w:r>
      <w:r>
        <w:t xml:space="preserve">“</w:t>
      </w:r>
      <w:r>
        <w:t xml:space="preserve">sufficient to support a finding that the item is what the proponent claims it is</w:t>
      </w:r>
      <w:r>
        <w:t xml:space="preserve">”</w:t>
      </w:r>
      <w:r>
        <w:t xml:space="preserve">; for material</w:t>
      </w:r>
      <w:r>
        <w:t xml:space="preserve"> </w:t>
      </w:r>
      <w:r>
        <w:t xml:space="preserve">of unknown origin that means an unbroken chain of custody, documented testing by an accredited laboratory, and</w:t>
      </w:r>
      <w:r>
        <w:t xml:space="preserve"> </w:t>
      </w:r>
      <w:r>
        <w:t xml:space="preserve">experts who can explain why the material cannot be attributed to known manufacture (</w:t>
      </w:r>
      <w:hyperlink r:id="rId35">
        <w:r>
          <w:rPr>
            <w:rStyle w:val="Hyperlink"/>
          </w:rPr>
          <w:t xml:space="preserve">Form E3-1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Statutory compensation</w:t>
      </w:r>
      <w:r>
        <w:t xml:space="preserve">: Congress can provide a compensation formula (for example, appraisal by a panel</w:t>
      </w:r>
      <w:r>
        <w:t xml:space="preserve"> </w:t>
      </w:r>
      <w:r>
        <w:t xml:space="preserve">with cleared experts, or a schedule), which reduces litigation over unknowable value.</w:t>
      </w:r>
    </w:p>
    <w:bookmarkEnd w:id="36"/>
    <w:bookmarkStart w:id="38" w:name="X1b9e0ca3b9ca3ac0fdb994e81d6a12816bb8e86"/>
    <w:p>
      <w:pPr>
        <w:pStyle w:val="Heading2"/>
      </w:pPr>
      <w:r>
        <w:t xml:space="preserve">5A. Tax, foreign origin, and biological evidence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Tax.</w:t>
      </w:r>
      <w:r>
        <w:t xml:space="preserve"> </w:t>
      </w:r>
      <w:r>
        <w:t xml:space="preserve">Compensation for property taken is an amount realized; gain can be deferred if the owner reinvests in</w:t>
      </w:r>
      <w:r>
        <w:t xml:space="preserve"> </w:t>
      </w:r>
      <w:r>
        <w:t xml:space="preserve">similar property within the replacement period for an involuntary conversion (26 U.S.C. §1033).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Foreign origin.</w:t>
      </w:r>
      <w:r>
        <w:t xml:space="preserve"> </w:t>
      </w:r>
      <w:r>
        <w:t xml:space="preserve">Material that entered the United States from abroad may be subject to cultural-property import</w:t>
      </w:r>
      <w:r>
        <w:t xml:space="preserve"> </w:t>
      </w:r>
      <w:r>
        <w:t xml:space="preserve">restrictions (19 U.S.C. §2601 et seq.) and to the foreign state’s claims, which affects both title and value.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Biological evidence.</w:t>
      </w:r>
      <w:r>
        <w:t xml:space="preserve"> </w:t>
      </w:r>
      <w:r>
        <w:t xml:space="preserve">H.R. 8800 would take</w:t>
      </w:r>
      <w:r>
        <w:t xml:space="preserve"> </w:t>
      </w:r>
      <w:r>
        <w:t xml:space="preserve">“</w:t>
      </w:r>
      <w:r>
        <w:t xml:space="preserve">biological evidence of non-human intelligence</w:t>
      </w:r>
      <w:r>
        <w:t xml:space="preserve">”</w:t>
      </w:r>
      <w:r>
        <w:t xml:space="preserve"> </w:t>
      </w:r>
      <w:r>
        <w:t xml:space="preserve">as property. If NHI</w:t>
      </w:r>
      <w:r>
        <w:t xml:space="preserve"> </w:t>
      </w:r>
      <w:r>
        <w:t xml:space="preserve">are persons (</w:t>
      </w:r>
      <w:hyperlink r:id="rId37">
        <w:r>
          <w:rPr>
            <w:rStyle w:val="Hyperlink"/>
          </w:rPr>
          <w:t xml:space="preserve">Issue F1</w:t>
        </w:r>
      </w:hyperlink>
      <w:r>
        <w:t xml:space="preserve">), remains of a person are not ordinary property, and the analogy is to human-remains law and</w:t>
      </w:r>
      <w:r>
        <w:t xml:space="preserve"> </w:t>
      </w:r>
      <w:r>
        <w:t xml:space="preserve">NAGPRA (</w:t>
      </w:r>
      <w:hyperlink r:id="rId21">
        <w:r>
          <w:rPr>
            <w:rStyle w:val="Hyperlink"/>
          </w:rPr>
          <w:t xml:space="preserve">Issue E3</w:t>
        </w:r>
      </w:hyperlink>
      <w:r>
        <w:t xml:space="preserve">), not to condemnation.</w:t>
      </w:r>
    </w:p>
    <w:bookmarkEnd w:id="38"/>
    <w:bookmarkStart w:id="39" w:name="practice-points"/>
    <w:p>
      <w:pPr>
        <w:pStyle w:val="Heading2"/>
      </w:pPr>
      <w:r>
        <w:t xml:space="preserve">6. Practice points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For holders of material</w:t>
      </w:r>
      <w:r>
        <w:t xml:space="preserve">: document provenance and chain of custody; identify any contract, grant, or</w:t>
      </w:r>
      <w:r>
        <w:t xml:space="preserve"> </w:t>
      </w:r>
      <w:r>
        <w:t xml:space="preserve">agreement affecting title; preserve evidence of costs and research investment; avoid transfers that could be</w:t>
      </w:r>
      <w:r>
        <w:t xml:space="preserve"> </w:t>
      </w:r>
      <w:r>
        <w:t xml:space="preserve">characterized as voluntary relinquishment; consult counsel before any government request to</w:t>
      </w:r>
      <w:r>
        <w:t xml:space="preserve"> </w:t>
      </w:r>
      <w:r>
        <w:t xml:space="preserve">“</w:t>
      </w:r>
      <w:r>
        <w:t xml:space="preserve">examine</w:t>
      </w:r>
      <w:r>
        <w:t xml:space="preserve">”</w:t>
      </w:r>
      <w:r>
        <w:t xml:space="preserve"> </w:t>
      </w:r>
      <w:r>
        <w:t xml:space="preserve">material.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For contractors</w:t>
      </w:r>
      <w:r>
        <w:t xml:space="preserve">: review property clauses; determine whether material is government property; assess</w:t>
      </w:r>
      <w:r>
        <w:t xml:space="preserve"> </w:t>
      </w:r>
      <w:r>
        <w:t xml:space="preserve">disclosure duties (Issues D1, D2).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For the government and legislators</w:t>
      </w:r>
      <w:r>
        <w:t xml:space="preserve">: add to §1767 a condemning authority, procedure, deposit mechanism,</w:t>
      </w:r>
      <w:r>
        <w:t xml:space="preserve"> </w:t>
      </w:r>
      <w:r>
        <w:t xml:space="preserve">valuation method, and Court of Federal Claims jurisdiction; address scientific access and return of</w:t>
      </w:r>
      <w:r>
        <w:t xml:space="preserve"> </w:t>
      </w:r>
      <w:r>
        <w:t xml:space="preserve">non-qualifying material.</w:t>
      </w:r>
    </w:p>
    <w:bookmarkEnd w:id="39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Taking Recovered Material: Eminent Domain, Just Compensation, and Title Disputes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2" Type="http://schemas.openxmlformats.org/officeDocument/2006/relationships/hyperlink" Target="https://nhilaw.com/forms/e1-1.html" TargetMode="External"/><Relationship Id="rId35" Type="http://schemas.openxmlformats.org/officeDocument/2006/relationships/hyperlink" Target="https://nhilaw.com/forms/e3-1.html" TargetMode="External"/><Relationship Id="rId33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a3.html" TargetMode="External"/><Relationship Id="rId21" Type="http://schemas.openxmlformats.org/officeDocument/2006/relationships/hyperlink" Target="https://nhilaw.com/issues/e3.html" TargetMode="External"/><Relationship Id="rId37" Type="http://schemas.openxmlformats.org/officeDocument/2006/relationships/hyperlink" Target="https://nhilaw.com/issues/f1.html" TargetMode="External"/><Relationship Id="rId29" Type="http://schemas.openxmlformats.org/officeDocument/2006/relationships/hyperlink" Target="https://nhilaw.com/issues/f2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2" Type="http://schemas.openxmlformats.org/officeDocument/2006/relationships/hyperlink" Target="https://nhilaw.com/forms/e1-1.html" TargetMode="External"/><Relationship Id="rId35" Type="http://schemas.openxmlformats.org/officeDocument/2006/relationships/hyperlink" Target="https://nhilaw.com/forms/e3-1.html" TargetMode="External"/><Relationship Id="rId33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a3.html" TargetMode="External"/><Relationship Id="rId21" Type="http://schemas.openxmlformats.org/officeDocument/2006/relationships/hyperlink" Target="https://nhilaw.com/issues/e3.html" TargetMode="External"/><Relationship Id="rId37" Type="http://schemas.openxmlformats.org/officeDocument/2006/relationships/hyperlink" Target="https://nhilaw.com/issues/f1.html" TargetMode="External"/><Relationship Id="rId29" Type="http://schemas.openxmlformats.org/officeDocument/2006/relationships/hyperlink" Target="https://nhilaw.com/issues/f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Taking Recovered Material: Eminent Domain, Just Compensation, and Title Disputes</dc:title>
  <dc:creator>nhilaw.com</dc:creator>
  <cp:keywords/>
  <dcterms:created xsi:type="dcterms:W3CDTF">2026-10-19T03:13:57Z</dcterms:created>
  <dcterms:modified xsi:type="dcterms:W3CDTF">2026-10-19T03:13:57Z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nhilaw.com/issues/e1.html</vt:lpwstr>
  </property>
</Properties>
</file>