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Intellectual Property in UAP-Derived Technology: Secrecy Orders, Government Use, and Patentability</w:t>
      </w:r>
    </w:p>
    <w:p>
      <w:pPr>
        <w:pStyle w:val="Subtitle"/>
      </w:pPr>
      <w:r>
        <w:t xml:space="preserve">Version 1.10 · October 2026 · nhilaw.com/issues/e2.html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The Invention Secrecy Act lets defense agencies keep patent applications secret, renewable yearly; 6,543 orders were in effect at the end of FY2025.</w:t>
      </w:r>
    </w:p>
    <w:p>
      <w:pPr>
        <w:pStyle w:val="Compact"/>
        <w:numPr>
          <w:ilvl w:val="0"/>
          <w:numId w:val="1001"/>
        </w:numPr>
      </w:pPr>
      <w:r>
        <w:t xml:space="preserve">Inventors may claim compensation for damage caused by an order and for government use (35 U.S.C. §183), but must prove damage tied to the order itself (</w:t>
      </w:r>
      <w:r>
        <w:rPr>
          <w:iCs/>
          <w:i/>
        </w:rPr>
        <w:t xml:space="preserve">Linick</w:t>
      </w:r>
      <w:r>
        <w:t xml:space="preserve">), and classified-use claims face the state secrets privilege (</w:t>
      </w:r>
      <w:r>
        <w:rPr>
          <w:iCs/>
          <w:i/>
        </w:rPr>
        <w:t xml:space="preserve">Clift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 government may use any patented invention, with compensation in the Court of Federal Claims (28 U.S.C. §1498); classified-use cases can end on privilege grounds (</w:t>
      </w:r>
      <w:r>
        <w:rPr>
          <w:iCs/>
          <w:i/>
        </w:rPr>
        <w:t xml:space="preserve">Geospatial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Secrecy-order delay extends the patent term (35 U.S.C. §154(b)(1)(C)(ii)); unlicensed foreign filing can cost the U.S. patent.</w:t>
      </w:r>
    </w:p>
    <w:p>
      <w:pPr>
        <w:pStyle w:val="Compact"/>
        <w:numPr>
          <w:ilvl w:val="0"/>
          <w:numId w:val="1001"/>
        </w:numPr>
      </w:pPr>
      <w:r>
        <w:t xml:space="preserve">Whether NHI-derived technology can be patented at all is treated in</w:t>
      </w:r>
      <w:r>
        <w:t xml:space="preserve"> </w:t>
      </w:r>
      <w:hyperlink r:id="rId21">
        <w:r>
          <w:rPr>
            <w:rStyle w:val="Hyperlink"/>
          </w:rPr>
          <w:t xml:space="preserve">Issue E6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Patent law intersects with UAP matters in four ways: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Secrecy orders.</w:t>
      </w:r>
      <w:r>
        <w:t xml:space="preserve"> </w:t>
      </w:r>
      <w:r>
        <w:t xml:space="preserve">Under the Invention Secrecy Act, 35 U.S.C. §§181-188, the Patent and Trademark Office</w:t>
      </w:r>
      <w:r>
        <w:t xml:space="preserve"> </w:t>
      </w:r>
      <w:r>
        <w:t xml:space="preserve">must withhold a patent and order an application kept secret when a defense agency determines publication</w:t>
      </w:r>
      <w:r>
        <w:t xml:space="preserve"> </w:t>
      </w:r>
      <w:r>
        <w:t xml:space="preserve">would be detrimental to national security. Orders last one year and are renewable. According to PTO figures</w:t>
      </w:r>
      <w:r>
        <w:t xml:space="preserve"> </w:t>
      </w:r>
      <w:r>
        <w:t xml:space="preserve">compiled by the Federation of American Scientists, 6,543 orders were in effect at the end of FY2025 (up from</w:t>
      </w:r>
      <w:r>
        <w:t xml:space="preserve"> </w:t>
      </w:r>
      <w:r>
        <w:t xml:space="preserve">5,976 at the end of FY2021); 102 new orders were imposed in FY2025 after an unusual 356 in FY2024, and 18 of the</w:t>
      </w:r>
      <w:r>
        <w:t xml:space="preserve"> </w:t>
      </w:r>
      <w:r>
        <w:t xml:space="preserve">FY2025 orders were</w:t>
      </w:r>
      <w:r>
        <w:t xml:space="preserve"> </w:t>
      </w:r>
      <w:r>
        <w:t xml:space="preserve">“</w:t>
      </w:r>
      <w:r>
        <w:t xml:space="preserve">John Doe</w:t>
      </w:r>
      <w:r>
        <w:t xml:space="preserve">”</w:t>
      </w:r>
      <w:r>
        <w:t xml:space="preserve"> </w:t>
      </w:r>
      <w:r>
        <w:t xml:space="preserve">orders on private inventors. Applications on advanced propulsion, energy, materials, and sensing are the kinds</w:t>
      </w:r>
      <w:r>
        <w:t xml:space="preserve"> </w:t>
      </w:r>
      <w:r>
        <w:t xml:space="preserve">most likely to be ordered secret.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Compensation.</w:t>
      </w:r>
      <w:r>
        <w:t xml:space="preserve"> </w:t>
      </w:r>
      <w:r>
        <w:t xml:space="preserve">An applicant whose application is placed under secrecy may claim compensation for damage</w:t>
      </w:r>
      <w:r>
        <w:t xml:space="preserve"> </w:t>
      </w:r>
      <w:r>
        <w:t xml:space="preserve">caused by the order and for government use of the invention, first from the agency and then in the Court</w:t>
      </w:r>
      <w:r>
        <w:t xml:space="preserve"> </w:t>
      </w:r>
      <w:r>
        <w:t xml:space="preserve">of Federal Claims (or a district court for some claims). 35 U.S.C. §183. Recoveries have been modest, and</w:t>
      </w:r>
      <w:r>
        <w:t xml:space="preserve"> </w:t>
      </w:r>
      <w:r>
        <w:t xml:space="preserve">claims involving classified technology face the state secrets privilege.</w:t>
      </w:r>
      <w:r>
        <w:t xml:space="preserve"> </w:t>
      </w:r>
      <w:r>
        <w:rPr>
          <w:iCs/>
          <w:i/>
        </w:rPr>
        <w:t xml:space="preserve">Clift v. United States</w:t>
      </w:r>
      <w:r>
        <w:t xml:space="preserve">, 808 F.</w:t>
      </w:r>
      <w:r>
        <w:t xml:space="preserve"> </w:t>
      </w:r>
      <w:r>
        <w:t xml:space="preserve">Supp. 101 (D. Conn. 1991) (claim by holder of a cryptographic device patent dismissed because the privilege</w:t>
      </w:r>
      <w:r>
        <w:t xml:space="preserve"> </w:t>
      </w:r>
      <w:r>
        <w:t xml:space="preserve">barred discovery of the government’s devices).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Government use.</w:t>
      </w:r>
      <w:r>
        <w:t xml:space="preserve"> </w:t>
      </w:r>
      <w:r>
        <w:t xml:space="preserve">The United States may use any patented invention; the patent owner’s remedy is</w:t>
      </w:r>
      <w:r>
        <w:t xml:space="preserve"> </w:t>
      </w:r>
      <w:r>
        <w:t xml:space="preserve">“</w:t>
      </w:r>
      <w:r>
        <w:t xml:space="preserve">reasonable and entire compensation</w:t>
      </w:r>
      <w:r>
        <w:t xml:space="preserve">”</w:t>
      </w:r>
      <w:r>
        <w:t xml:space="preserve"> </w:t>
      </w:r>
      <w:r>
        <w:t xml:space="preserve">in the Court of Federal Claims, 28 U.S.C. §1498. Litigation over</w:t>
      </w:r>
      <w:r>
        <w:t xml:space="preserve"> </w:t>
      </w:r>
      <w:r>
        <w:t xml:space="preserve">classified uses may be dismissed on privilege grounds:</w:t>
      </w:r>
      <w:r>
        <w:t xml:space="preserve"> </w:t>
      </w:r>
      <w:r>
        <w:rPr>
          <w:iCs/>
          <w:i/>
        </w:rPr>
        <w:t xml:space="preserve">Geospatial Technology Associates v. United States</w:t>
      </w:r>
      <w:r>
        <w:t xml:space="preserve">,</w:t>
      </w:r>
      <w:r>
        <w:t xml:space="preserve"> </w:t>
      </w:r>
      <w:r>
        <w:t xml:space="preserve">2026 WL 2253842 (Fed. Cl. 2026), appeal filed (Fed. Cir. Sept. 14, 2026) (dismissed after ten years because the government could not defend</w:t>
      </w:r>
      <w:r>
        <w:t xml:space="preserve"> </w:t>
      </w:r>
      <w:r>
        <w:t xml:space="preserve">obviousness without privileged information).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Patentability of NHI-derived technology.</w:t>
      </w:r>
      <w:r>
        <w:t xml:space="preserve"> </w:t>
      </w:r>
      <w:r>
        <w:t xml:space="preserve">Reverse-engineered features of a non-human artifact raise</w:t>
      </w:r>
      <w:r>
        <w:t xml:space="preserve"> </w:t>
      </w:r>
      <w:r>
        <w:t xml:space="preserve">questions of inventorship (only natural persons are inventors,</w:t>
      </w:r>
      <w:r>
        <w:t xml:space="preserve"> </w:t>
      </w:r>
      <w:r>
        <w:rPr>
          <w:iCs/>
          <w:i/>
        </w:rPr>
        <w:t xml:space="preserve">Thaler v. Vidal</w:t>
      </w:r>
      <w:r>
        <w:t xml:space="preserve">, 43 F.4th 1207 (Fed. Cir.</w:t>
      </w:r>
      <w:r>
        <w:t xml:space="preserve"> </w:t>
      </w:r>
      <w:r>
        <w:t xml:space="preserve">2022)), prior art (is an existing artifact</w:t>
      </w:r>
      <w:r>
        <w:t xml:space="preserve"> </w:t>
      </w:r>
      <w:r>
        <w:t xml:space="preserve">“</w:t>
      </w:r>
      <w:r>
        <w:t xml:space="preserve">available to the public</w:t>
      </w:r>
      <w:r>
        <w:t xml:space="preserve">”</w:t>
      </w:r>
      <w:r>
        <w:t xml:space="preserve">?), and enablement.</w:t>
      </w:r>
    </w:p>
    <w:p>
      <w:r>
        <w:pict>
          <v:rect style="width:0;height:1.5pt" o:hralign="center" o:hrstd="t" o:hr="t"/>
        </w:pict>
      </w:r>
    </w:p>
    <w:bookmarkEnd w:id="23"/>
    <w:bookmarkStart w:id="24" w:name="secrecy-orders"/>
    <w:p>
      <w:pPr>
        <w:pStyle w:val="Heading2"/>
      </w:pPr>
      <w:r>
        <w:t xml:space="preserve">2. Secrecy orders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Process.</w:t>
      </w:r>
      <w:r>
        <w:t xml:space="preserve"> </w:t>
      </w:r>
      <w:r>
        <w:t xml:space="preserve">The USPTO refers applications to defense agencies (DoD, DOE, and others) under 35 U.S.C. §181;</w:t>
      </w:r>
      <w:r>
        <w:t xml:space="preserve"> </w:t>
      </w:r>
      <w:r>
        <w:t xml:space="preserve">if an agency head determines disclosure would be detrimental to national security, the Commissioner orders</w:t>
      </w:r>
      <w:r>
        <w:t xml:space="preserve"> </w:t>
      </w:r>
      <w:r>
        <w:t xml:space="preserve">the invention kept secret and withholds the patent for one year, renewable. Orders bar publication and filing</w:t>
      </w:r>
      <w:r>
        <w:t xml:space="preserve"> </w:t>
      </w:r>
      <w:r>
        <w:t xml:space="preserve">abroad (§184 foreign filing license); violation can result in abandonment and criminal penalties (§§182,</w:t>
      </w:r>
      <w:r>
        <w:t xml:space="preserve"> </w:t>
      </w:r>
      <w:r>
        <w:t xml:space="preserve">186).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Who is affected.</w:t>
      </w:r>
      <w:r>
        <w:t xml:space="preserve"> </w:t>
      </w:r>
      <w:r>
        <w:t xml:space="preserve">Orders reach privately funded inventions; FAS reports dozens of</w:t>
      </w:r>
      <w:r>
        <w:t xml:space="preserve"> </w:t>
      </w:r>
      <w:r>
        <w:t xml:space="preserve">“</w:t>
      </w:r>
      <w:r>
        <w:t xml:space="preserve">John Doe</w:t>
      </w:r>
      <w:r>
        <w:t xml:space="preserve">”</w:t>
      </w:r>
      <w:r>
        <w:t xml:space="preserve"> </w:t>
      </w:r>
      <w:r>
        <w:t xml:space="preserve">orders on</w:t>
      </w:r>
      <w:r>
        <w:t xml:space="preserve"> </w:t>
      </w:r>
      <w:r>
        <w:t xml:space="preserve">private inventors each year.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Review.</w:t>
      </w:r>
      <w:r>
        <w:t xml:space="preserve"> </w:t>
      </w:r>
      <w:r>
        <w:t xml:space="preserve">The applicant may petition the Secretary of Commerce for rescission or modification (37 C.F.R.</w:t>
      </w:r>
      <w:r>
        <w:t xml:space="preserve"> </w:t>
      </w:r>
      <w:r>
        <w:t xml:space="preserve">§5.4: the petition, in duplicate, must recite facts rendering the order ineffectual or</w:t>
      </w:r>
      <w:r>
        <w:t xml:space="preserve"> </w:t>
      </w:r>
      <w:r>
        <w:t xml:space="preserve">futile (for example, prior publications or patents, with copies), and identify any government contract under which</w:t>
      </w:r>
      <w:r>
        <w:t xml:space="preserve"> </w:t>
      </w:r>
      <w:r>
        <w:t xml:space="preserve">the subject matter was developed; appeal lies to the Secretary of Commerce).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Compensation (§183).</w:t>
      </w:r>
      <w:r>
        <w:t xml:space="preserve"> </w:t>
      </w:r>
      <w:r>
        <w:t xml:space="preserve">The owner may apply to the agency that caused the order for compensation for damage</w:t>
      </w:r>
      <w:r>
        <w:t xml:space="preserve"> </w:t>
      </w:r>
      <w:r>
        <w:t xml:space="preserve">caused by the order and for government use, within the statutory period (from the notice of allowability or</w:t>
      </w:r>
      <w:r>
        <w:t xml:space="preserve"> </w:t>
      </w:r>
      <w:r>
        <w:t xml:space="preserve">until six years after the patent issues); if dissatisfied, sue in the Court of Federal Claims; the right to</w:t>
      </w:r>
      <w:r>
        <w:t xml:space="preserve"> </w:t>
      </w:r>
      <w:r>
        <w:t xml:space="preserve">compensation for use begins on first government use. Federal employees who made the invention while employed</w:t>
      </w:r>
      <w:r>
        <w:t xml:space="preserve"> </w:t>
      </w:r>
      <w:r>
        <w:t xml:space="preserve">are excluded. The case law:</w:t>
      </w:r>
    </w:p>
    <w:p>
      <w:pPr>
        <w:pStyle w:val="Compact"/>
        <w:numPr>
          <w:ilvl w:val="1"/>
          <w:numId w:val="1004"/>
        </w:numPr>
      </w:pPr>
      <w:r>
        <w:rPr>
          <w:iCs/>
          <w:i/>
        </w:rPr>
        <w:t xml:space="preserve">Constant v. United States</w:t>
      </w:r>
      <w:r>
        <w:t xml:space="preserve">, 617 F.2d 239 (Ct. Cl. 1980): an inventor whose application was under a secrecy</w:t>
      </w:r>
      <w:r>
        <w:t xml:space="preserve"> </w:t>
      </w:r>
      <w:r>
        <w:t xml:space="preserve">order for a time may sue even though the patent later issued without delay caused by the order; an</w:t>
      </w:r>
      <w:r>
        <w:t xml:space="preserve"> </w:t>
      </w:r>
      <w:r>
        <w:t xml:space="preserve">allegation that the order kept the inventor from financing or marketing the invention states a claim; and</w:t>
      </w:r>
      <w:r>
        <w:t xml:space="preserve"> </w:t>
      </w:r>
      <w:r>
        <w:t xml:space="preserve">the inventor need not first ask the Commissioner for permission to disclose to prospective partners.</w:t>
      </w:r>
    </w:p>
    <w:p>
      <w:pPr>
        <w:pStyle w:val="Compact"/>
        <w:numPr>
          <w:ilvl w:val="1"/>
          <w:numId w:val="1004"/>
        </w:numPr>
      </w:pPr>
      <w:r>
        <w:rPr>
          <w:iCs/>
          <w:i/>
        </w:rPr>
        <w:t xml:space="preserve">Hornback v. United States</w:t>
      </w:r>
      <w:r>
        <w:t xml:space="preserve">, 601 F.3d 1382 (Fed. Cir. 2010): the Act gives no cause of action for government</w:t>
      </w:r>
      <w:r>
        <w:t xml:space="preserve"> </w:t>
      </w:r>
      <w:r>
        <w:t xml:space="preserve">use after the patent issues; that claim lies, if at all, under 28 U.S.C. §1498.</w:t>
      </w:r>
    </w:p>
    <w:p>
      <w:pPr>
        <w:pStyle w:val="Compact"/>
        <w:numPr>
          <w:ilvl w:val="1"/>
          <w:numId w:val="1004"/>
        </w:numPr>
      </w:pPr>
      <w:r>
        <w:rPr>
          <w:iCs/>
          <w:i/>
        </w:rPr>
        <w:t xml:space="preserve">Linick v. United States</w:t>
      </w:r>
      <w:r>
        <w:t xml:space="preserve">, 104 Fed. Cl. 319 (2012): on a $2.5 million claim arising from secrecy orders on</w:t>
      </w:r>
      <w:r>
        <w:t xml:space="preserve"> </w:t>
      </w:r>
      <w:r>
        <w:t xml:space="preserve">three munitions applications, the court held that the owner had failed to establish damages caused by the</w:t>
      </w:r>
      <w:r>
        <w:t xml:space="preserve"> </w:t>
      </w:r>
      <w:r>
        <w:t xml:space="preserve">orders. The case shows the proof problem: lost licensing or sales must be tied to the order itself.</w:t>
      </w:r>
    </w:p>
    <w:p>
      <w:pPr>
        <w:pStyle w:val="Compact"/>
        <w:numPr>
          <w:ilvl w:val="1"/>
          <w:numId w:val="1004"/>
        </w:numPr>
      </w:pPr>
      <w:r>
        <w:rPr>
          <w:iCs/>
          <w:i/>
        </w:rPr>
        <w:t xml:space="preserve">Damnjanovic v. U.S. Dep’t of the Air Force</w:t>
      </w:r>
      <w:r>
        <w:t xml:space="preserve">, 135 F. Supp. 3d 601 (E.D. Mich. 2015): inventors stated a</w:t>
      </w:r>
      <w:r>
        <w:t xml:space="preserve"> </w:t>
      </w:r>
      <w:r>
        <w:t xml:space="preserve">claim for compensation under the Act; a secrecy order is not a Fifth Amendment taking; the inventors lacked</w:t>
      </w:r>
      <w:r>
        <w:t xml:space="preserve"> </w:t>
      </w:r>
      <w:r>
        <w:t xml:space="preserve">standing for a First Amendment declaration; and the government need not issue separate regulations to</w:t>
      </w:r>
      <w:r>
        <w:t xml:space="preserve"> </w:t>
      </w:r>
      <w:r>
        <w:t xml:space="preserve">implement the compensation provision.</w:t>
      </w:r>
    </w:p>
    <w:p>
      <w:pPr>
        <w:pStyle w:val="Compact"/>
        <w:numPr>
          <w:ilvl w:val="1"/>
          <w:numId w:val="1004"/>
        </w:numPr>
      </w:pPr>
      <w:r>
        <w:rPr>
          <w:iCs/>
          <w:i/>
        </w:rPr>
        <w:t xml:space="preserve">Juliet Marine Systems, Inc. v. United States</w:t>
      </w:r>
      <w:r>
        <w:t xml:space="preserve">, 2017 WL 1193702 (Fed. Cl. Mar. 31, 2017) (order): because</w:t>
      </w:r>
      <w:r>
        <w:t xml:space="preserve"> </w:t>
      </w:r>
      <w:r>
        <w:t xml:space="preserve">§183 lets the government plead any defense available under §1498, it may assert patent invalidity in a</w:t>
      </w:r>
      <w:r>
        <w:t xml:space="preserve"> </w:t>
      </w:r>
      <w:r>
        <w:t xml:space="preserve">secrecy-order damages case, at least as bearing on the invention’s value; the court doubted invalidity</w:t>
      </w:r>
      <w:r>
        <w:t xml:space="preserve"> </w:t>
      </w:r>
      <w:r>
        <w:t xml:space="preserve">could be a complete defense, since damages may accrue before a patent issues.</w:t>
      </w:r>
    </w:p>
    <w:p>
      <w:pPr>
        <w:pStyle w:val="Compact"/>
        <w:numPr>
          <w:ilvl w:val="1"/>
          <w:numId w:val="1004"/>
        </w:numPr>
      </w:pPr>
      <w:r>
        <w:rPr>
          <w:iCs/>
          <w:i/>
        </w:rPr>
        <w:t xml:space="preserve">Halpern v. United States</w:t>
      </w:r>
      <w:r>
        <w:t xml:space="preserve">, 258 F.2d 36 (2d Cir. 1958): an inventor’s suit for compensation under the Act could</w:t>
      </w:r>
      <w:r>
        <w:t xml:space="preserve"> </w:t>
      </w:r>
      <w:r>
        <w:t xml:space="preserve">proceed, with the court using in camera procedures to protect the secret subject matter. It is the oldest model</w:t>
      </w:r>
      <w:r>
        <w:t xml:space="preserve"> </w:t>
      </w:r>
      <w:r>
        <w:t xml:space="preserve">for trying a secrecy-order case without disclosing the invention.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Patent term.</w:t>
      </w:r>
      <w:r>
        <w:t xml:space="preserve"> </w:t>
      </w:r>
      <w:r>
        <w:t xml:space="preserve">If issuance of a patent is delayed by a secrecy order, the term is extended day for day for the</w:t>
      </w:r>
      <w:r>
        <w:t xml:space="preserve"> </w:t>
      </w:r>
      <w:r>
        <w:t xml:space="preserve">delay (35 U.S.C. §154(b)(1)(C)(ii)), so the order does not consume the patent’s life.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Foreign filing.</w:t>
      </w:r>
      <w:r>
        <w:t xml:space="preserve"> </w:t>
      </w:r>
      <w:r>
        <w:t xml:space="preserve">An applicant who files abroad without a foreign filing license risks the U.S. patent (35</w:t>
      </w:r>
      <w:r>
        <w:t xml:space="preserve"> </w:t>
      </w:r>
      <w:r>
        <w:t xml:space="preserve">U.S.C. §185). A filing made through error and without deceptive intent can be cured by a petition for a</w:t>
      </w:r>
      <w:r>
        <w:t xml:space="preserve"> </w:t>
      </w:r>
      <w:r>
        <w:t xml:space="preserve">retroactive license listing each country, the dates, and an explanation of how the error occurred (§184; 37 C.F.R.</w:t>
      </w:r>
      <w:r>
        <w:t xml:space="preserve"> </w:t>
      </w:r>
      <w:r>
        <w:t xml:space="preserve">§5.25). Applicants in UAP-adjacent fields should obtain the license before any foreign filing.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State secrets.</w:t>
      </w:r>
      <w:r>
        <w:t xml:space="preserve"> </w:t>
      </w:r>
      <w:r>
        <w:rPr>
          <w:iCs/>
          <w:i/>
        </w:rPr>
        <w:t xml:space="preserve">Clift</w:t>
      </w:r>
      <w:r>
        <w:t xml:space="preserve"> </w:t>
      </w:r>
      <w:r>
        <w:t xml:space="preserve">shows that a compensation claim can be dismissed if proving government use requires</w:t>
      </w:r>
      <w:r>
        <w:t xml:space="preserve"> </w:t>
      </w:r>
      <w:r>
        <w:t xml:space="preserve">classified information about government devices.</w:t>
      </w:r>
    </w:p>
    <w:bookmarkEnd w:id="24"/>
    <w:bookmarkStart w:id="26" w:name="government-use-under-1498"/>
    <w:p>
      <w:pPr>
        <w:pStyle w:val="Heading2"/>
      </w:pPr>
      <w:r>
        <w:t xml:space="preserve">3. Government use under §1498</w:t>
      </w:r>
    </w:p>
    <w:p>
      <w:pPr>
        <w:pStyle w:val="Compact"/>
        <w:numPr>
          <w:ilvl w:val="0"/>
          <w:numId w:val="1005"/>
        </w:numPr>
      </w:pPr>
      <w:r>
        <w:t xml:space="preserve">The United States is liable for</w:t>
      </w:r>
      <w:r>
        <w:t xml:space="preserve"> </w:t>
      </w:r>
      <w:r>
        <w:t xml:space="preserve">“</w:t>
      </w:r>
      <w:r>
        <w:t xml:space="preserve">reasonable and entire compensation</w:t>
      </w:r>
      <w:r>
        <w:t xml:space="preserve">”</w:t>
      </w:r>
      <w:r>
        <w:t xml:space="preserve"> </w:t>
      </w:r>
      <w:r>
        <w:t xml:space="preserve">when it uses a patented invention or one</w:t>
      </w:r>
      <w:r>
        <w:t xml:space="preserve"> </w:t>
      </w:r>
      <w:r>
        <w:t xml:space="preserve">is used by a contractor</w:t>
      </w:r>
      <w:r>
        <w:t xml:space="preserve"> </w:t>
      </w:r>
      <w:r>
        <w:t xml:space="preserve">“</w:t>
      </w:r>
      <w:r>
        <w:t xml:space="preserve">for the Government and with the authorization or consent of the Government.</w:t>
      </w:r>
      <w:r>
        <w:t xml:space="preserve">”</w:t>
      </w:r>
      <w:r>
        <w:t xml:space="preserve"> </w:t>
      </w:r>
      <w:r>
        <w:t xml:space="preserve">28 U.S.C.</w:t>
      </w:r>
      <w:r>
        <w:t xml:space="preserve"> </w:t>
      </w:r>
      <w:r>
        <w:t xml:space="preserve">§1498(a). The owner cannot enjoin the use.</w:t>
      </w:r>
    </w:p>
    <w:p>
      <w:pPr>
        <w:pStyle w:val="Compact"/>
        <w:numPr>
          <w:ilvl w:val="0"/>
          <w:numId w:val="1005"/>
        </w:numPr>
      </w:pPr>
      <w:r>
        <w:t xml:space="preserve">Contractors performing government work are shielded from infringement suits when §1498 applies.</w:t>
      </w:r>
    </w:p>
    <w:p>
      <w:pPr>
        <w:pStyle w:val="Compact"/>
        <w:numPr>
          <w:ilvl w:val="0"/>
          <w:numId w:val="1005"/>
        </w:numPr>
      </w:pPr>
      <w:r>
        <w:t xml:space="preserve">Classified use cases face privilege-based dismissal (</w:t>
      </w:r>
      <w:r>
        <w:rPr>
          <w:iCs/>
          <w:i/>
        </w:rPr>
        <w:t xml:space="preserve">Geospatial</w:t>
      </w:r>
      <w:r>
        <w:t xml:space="preserve">; see</w:t>
      </w:r>
      <w:r>
        <w:t xml:space="preserve"> </w:t>
      </w:r>
      <w:hyperlink r:id="rId25">
        <w:r>
          <w:rPr>
            <w:rStyle w:val="Hyperlink"/>
          </w:rPr>
          <w:t xml:space="preserve">Issue A1</w:t>
        </w:r>
      </w:hyperlink>
      <w:r>
        <w:t xml:space="preserve">).</w:t>
      </w:r>
    </w:p>
    <w:bookmarkEnd w:id="26"/>
    <w:bookmarkStart w:id="33" w:name="Xa1313ad03dd8cc3e475f1fd5230e1d131985b08"/>
    <w:p>
      <w:pPr>
        <w:pStyle w:val="Heading2"/>
      </w:pPr>
      <w:r>
        <w:t xml:space="preserve">4. Patenting technology derived from NHI material</w:t>
      </w:r>
    </w:p>
    <w:p>
      <w:pPr>
        <w:pStyle w:val="FirstParagraph"/>
      </w:pPr>
      <w:hyperlink r:id="rId21">
        <w:r>
          <w:rPr>
            <w:rStyle w:val="Hyperlink"/>
            <w:iCs/>
            <w:i/>
          </w:rPr>
          <w:t xml:space="preserve">Issue E6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now treats this question in full (inventorship, novelty, eligibility, consequences of false claims,</w:t>
      </w:r>
      <w:r>
        <w:rPr>
          <w:iCs/>
          <w:i/>
        </w:rPr>
        <w:t xml:space="preserve"> </w:t>
      </w:r>
      <w:r>
        <w:rPr>
          <w:iCs/>
          <w:i/>
        </w:rPr>
        <w:t xml:space="preserve">ownership, foreign law, and a model statute). The points below are a summary.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Inventorship.</w:t>
      </w:r>
      <w:r>
        <w:t xml:space="preserve"> </w:t>
      </w:r>
      <w:r>
        <w:t xml:space="preserve">Only natural persons can be inventors (</w:t>
      </w:r>
      <w:r>
        <w:rPr>
          <w:iCs/>
          <w:i/>
        </w:rPr>
        <w:t xml:space="preserve">Thaler v. Vidal</w:t>
      </w:r>
      <w:r>
        <w:t xml:space="preserve">). A human who conceives an</w:t>
      </w:r>
      <w:r>
        <w:t xml:space="preserve"> </w:t>
      </w:r>
      <w:r>
        <w:t xml:space="preserve">invention while studying an artifact can be an inventor; a design copied from an artifact may not be the</w:t>
      </w:r>
      <w:r>
        <w:t xml:space="preserve"> </w:t>
      </w:r>
      <w:r>
        <w:t xml:space="preserve">human’s conception.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Prior art.</w:t>
      </w:r>
      <w:r>
        <w:t xml:space="preserve"> </w:t>
      </w:r>
      <w:r>
        <w:t xml:space="preserve">A recovered artifact kept secret is not</w:t>
      </w:r>
      <w:r>
        <w:t xml:space="preserve"> </w:t>
      </w:r>
      <w:r>
        <w:t xml:space="preserve">“</w:t>
      </w:r>
      <w:r>
        <w:t xml:space="preserve">available to the public</w:t>
      </w:r>
      <w:r>
        <w:t xml:space="preserve">”</w:t>
      </w:r>
      <w:r>
        <w:t xml:space="preserve"> </w:t>
      </w:r>
      <w:r>
        <w:t xml:space="preserve">and is not prior art under</w:t>
      </w:r>
      <w:r>
        <w:t xml:space="preserve"> </w:t>
      </w:r>
      <w:r>
        <w:t xml:space="preserve">35 U.S.C. §102(a)(1). After disclosure, a publicly described artifact could be prior art for later</w:t>
      </w:r>
      <w:r>
        <w:t xml:space="preserve"> </w:t>
      </w:r>
      <w:r>
        <w:t xml:space="preserve">applications, which creates a race to file. Grace periods (§102(b)) apply only to the inventor’s own</w:t>
      </w:r>
      <w:r>
        <w:t xml:space="preserve"> </w:t>
      </w:r>
      <w:r>
        <w:t xml:space="preserve">disclosures.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Derivation.</w:t>
      </w:r>
      <w:r>
        <w:t xml:space="preserve"> </w:t>
      </w:r>
      <w:r>
        <w:t xml:space="preserve">If the government or contractor team derived the invention from an artifact, questions of who</w:t>
      </w:r>
      <w:r>
        <w:t xml:space="preserve"> </w:t>
      </w:r>
      <w:r>
        <w:t xml:space="preserve">invented it (and whether the</w:t>
      </w:r>
      <w:r>
        <w:t xml:space="preserve"> </w:t>
      </w:r>
      <w:r>
        <w:t xml:space="preserve">“</w:t>
      </w:r>
      <w:r>
        <w:t xml:space="preserve">invention</w:t>
      </w:r>
      <w:r>
        <w:t xml:space="preserve">”</w:t>
      </w:r>
      <w:r>
        <w:t xml:space="preserve"> </w:t>
      </w:r>
      <w:r>
        <w:t xml:space="preserve">is simply a description of something found) arise.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Enablement and written description</w:t>
      </w:r>
      <w:r>
        <w:t xml:space="preserve"> </w:t>
      </w:r>
      <w:r>
        <w:t xml:space="preserve">(§112) require the application to teach how to make and use the</w:t>
      </w:r>
      <w:r>
        <w:t xml:space="preserve"> </w:t>
      </w:r>
      <w:r>
        <w:t xml:space="preserve">invention; if the underlying physics is not understood, enablement may fail.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Government rights.</w:t>
      </w:r>
      <w:r>
        <w:t xml:space="preserve"> </w:t>
      </w:r>
      <w:r>
        <w:t xml:space="preserve">Inventions made under government contracts are subject to Bayh-Dole (35 U.S.C. §§200-</w:t>
      </w:r>
      <w:r>
        <w:t xml:space="preserve"> </w:t>
      </w:r>
      <w:r>
        <w:t xml:space="preserve">212) or the contract’s patent rights clause; the government receives at least a license and may take title</w:t>
      </w:r>
      <w:r>
        <w:t xml:space="preserve"> </w:t>
      </w:r>
      <w:r>
        <w:t xml:space="preserve">if the contractor fails to disclose and elect.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Trade secrets.</w:t>
      </w:r>
      <w:r>
        <w:t xml:space="preserve"> </w:t>
      </w:r>
      <w:r>
        <w:t xml:space="preserve">Contractors may protect know-how as trade secrets (Defend Trade Secrets Act, 18 U.S.C.</w:t>
      </w:r>
      <w:r>
        <w:t xml:space="preserve"> </w:t>
      </w:r>
      <w:r>
        <w:t xml:space="preserve">§1836), but classified information cannot be the subject of a private trade secret claim against the</w:t>
      </w:r>
      <w:r>
        <w:t xml:space="preserve"> </w:t>
      </w:r>
      <w:r>
        <w:t xml:space="preserve">government without facing privilege issues, and disclosure statutes (H.R. 8800 §1767) could override</w:t>
      </w:r>
      <w:r>
        <w:t xml:space="preserve"> </w:t>
      </w:r>
      <w:r>
        <w:t xml:space="preserve">private rights subject to compensation (</w:t>
      </w:r>
      <w:hyperlink r:id="rId27">
        <w:r>
          <w:rPr>
            <w:rStyle w:val="Hyperlink"/>
          </w:rPr>
          <w:t xml:space="preserve">Issue E1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Intellectual property is no title to the being.</w:t>
      </w:r>
      <w:r>
        <w:t xml:space="preserve"> </w:t>
      </w:r>
      <w:r>
        <w:t xml:space="preserve">A contractor’s patents or trade secrets in information</w:t>
      </w:r>
      <w:r>
        <w:t xml:space="preserve"> </w:t>
      </w:r>
      <w:r>
        <w:t xml:space="preserve">learned from a living non-human being give it rights in the information, and none in the being. A claim that</w:t>
      </w:r>
      <w:r>
        <w:t xml:space="preserve"> </w:t>
      </w:r>
      <w:r>
        <w:t xml:space="preserve">the being is the contractor’s property, or that holding it protects trade secrets, is the kind of assertion a</w:t>
      </w:r>
      <w:r>
        <w:t xml:space="preserve"> </w:t>
      </w:r>
      <w:r>
        <w:t xml:space="preserve">habeas return must justify (</w:t>
      </w:r>
      <w:hyperlink r:id="rId28">
        <w:r>
          <w:rPr>
            <w:rStyle w:val="Hyperlink"/>
          </w:rPr>
          <w:t xml:space="preserve">Issue F1</w:t>
        </w:r>
      </w:hyperlink>
      <w:r>
        <w:t xml:space="preserve">;</w:t>
      </w:r>
      <w:r>
        <w:t xml:space="preserve"> </w:t>
      </w:r>
      <w:hyperlink r:id="rId29">
        <w:r>
          <w:rPr>
            <w:rStyle w:val="Hyperlink"/>
          </w:rPr>
          <w:t xml:space="preserve">Form F1-2</w:t>
        </w:r>
      </w:hyperlink>
      <w:r>
        <w:t xml:space="preserve">), and the custodian’s own filings about what it derived from</w:t>
      </w:r>
      <w:r>
        <w:t xml:space="preserve"> </w:t>
      </w:r>
      <w:r>
        <w:t xml:space="preserve">the being may become evidence of the custody.</w:t>
      </w:r>
    </w:p>
    <w:bookmarkStart w:id="32" w:name="X46b1d03e143afa8a25fd6da13e88e8f63f78906"/>
    <w:p>
      <w:pPr>
        <w:pStyle w:val="Heading3"/>
      </w:pPr>
      <w:r>
        <w:t xml:space="preserve">4.1 Trade secrets in government hands and whistleblowers</w:t>
      </w:r>
    </w:p>
    <w:p>
      <w:pPr>
        <w:pStyle w:val="FirstParagraph"/>
      </w:pPr>
      <w:r>
        <w:t xml:space="preserve">Technical data a contractor gives the government is protected against release by the Trade Secrets Act (18 U.S.C.</w:t>
      </w:r>
      <w:r>
        <w:t xml:space="preserve"> </w:t>
      </w:r>
      <w:r>
        <w:t xml:space="preserve">§1905) and, in FOIA cases, by Exemption 4 (</w:t>
      </w:r>
      <w:hyperlink r:id="rId30">
        <w:r>
          <w:rPr>
            <w:rStyle w:val="Hyperlink"/>
          </w:rPr>
          <w:t xml:space="preserve">Issue B1</w:t>
        </w:r>
      </w:hyperlink>
      <w:r>
        <w:t xml:space="preserve">). A contractor can sue to block a proposed release (</w:t>
      </w:r>
      <w:r>
        <w:rPr>
          <w:iCs/>
          <w:i/>
        </w:rPr>
        <w:t xml:space="preserve">Chrysler</w:t>
      </w:r>
      <w:r>
        <w:rPr>
          <w:iCs/>
          <w:i/>
        </w:rPr>
        <w:t xml:space="preserve"> </w:t>
      </w:r>
      <w:r>
        <w:rPr>
          <w:iCs/>
          <w:i/>
        </w:rPr>
        <w:t xml:space="preserve">Corp. v. Brown</w:t>
      </w:r>
      <w:r>
        <w:t xml:space="preserve">, 441 U.S. 281 (1979)). On the other side, an employee who reports suspected illegality to a government</w:t>
      </w:r>
      <w:r>
        <w:t xml:space="preserve"> </w:t>
      </w:r>
      <w:r>
        <w:t xml:space="preserve">official or a lawyer, in confidence, is immune from trade secret liability for that disclosure (18 U.S.C. §1833(b);</w:t>
      </w:r>
      <w:r>
        <w:t xml:space="preserve"> </w:t>
      </w:r>
      <w:hyperlink r:id="rId31">
        <w:r>
          <w:rPr>
            <w:rStyle w:val="Hyperlink"/>
          </w:rPr>
          <w:t xml:space="preserve">Issue C1</w:t>
        </w:r>
      </w:hyperlink>
      <w:r>
        <w:t xml:space="preserve">), which answers contractor NDAs that treat UAP program information as proprietary.</w:t>
      </w:r>
    </w:p>
    <w:bookmarkEnd w:id="32"/>
    <w:bookmarkEnd w:id="33"/>
    <w:bookmarkStart w:id="34" w:name="practice-points"/>
    <w:p>
      <w:pPr>
        <w:pStyle w:val="Heading2"/>
      </w:pPr>
      <w:r>
        <w:t xml:space="preserve">5. Practice points</w:t>
      </w:r>
    </w:p>
    <w:p>
      <w:pPr>
        <w:pStyle w:val="Compact"/>
        <w:numPr>
          <w:ilvl w:val="0"/>
          <w:numId w:val="1007"/>
        </w:numPr>
      </w:pPr>
      <w:r>
        <w:t xml:space="preserve">For inventors under secrecy orders: calendar renewal dates; file §183 claims within the statutory period;</w:t>
      </w:r>
      <w:r>
        <w:t xml:space="preserve"> </w:t>
      </w:r>
      <w:r>
        <w:t xml:space="preserve">document damages (lost licensing, foreign filing opportunities); seek rescission when technology becomes</w:t>
      </w:r>
      <w:r>
        <w:t xml:space="preserve"> </w:t>
      </w:r>
      <w:r>
        <w:t xml:space="preserve">public.</w:t>
      </w:r>
    </w:p>
    <w:p>
      <w:pPr>
        <w:pStyle w:val="Compact"/>
        <w:numPr>
          <w:ilvl w:val="0"/>
          <w:numId w:val="1007"/>
        </w:numPr>
      </w:pPr>
      <w:r>
        <w:t xml:space="preserve">For contractors: review patent rights clauses; disclose subject inventions; consider whether UAP-derived</w:t>
      </w:r>
      <w:r>
        <w:t xml:space="preserve"> </w:t>
      </w:r>
      <w:r>
        <w:t xml:space="preserve">inventions were</w:t>
      </w:r>
      <w:r>
        <w:t xml:space="preserve"> </w:t>
      </w:r>
      <w:r>
        <w:t xml:space="preserve">“</w:t>
      </w:r>
      <w:r>
        <w:t xml:space="preserve">subject inventions</w:t>
      </w:r>
      <w:r>
        <w:t xml:space="preserve">”</w:t>
      </w:r>
      <w:r>
        <w:t xml:space="preserve"> </w:t>
      </w:r>
      <w:r>
        <w:t xml:space="preserve">under federal funding.</w:t>
      </w:r>
    </w:p>
    <w:p>
      <w:pPr>
        <w:pStyle w:val="Compact"/>
        <w:numPr>
          <w:ilvl w:val="0"/>
          <w:numId w:val="1007"/>
        </w:numPr>
      </w:pPr>
      <w:r>
        <w:t xml:space="preserve">After disclosure: file promptly on human-conceived improvements; assess prior art created by public</w:t>
      </w:r>
      <w:r>
        <w:t xml:space="preserve"> </w:t>
      </w:r>
      <w:r>
        <w:t xml:space="preserve">disclosure of artifacts.</w:t>
      </w:r>
    </w:p>
    <w:bookmarkEnd w:id="34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Intellectual Property in UAP-Derived Technology: Secrecy Orders, Government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9" Type="http://schemas.openxmlformats.org/officeDocument/2006/relationships/hyperlink" Target="https://nhilaw.com/forms/f1-2.html" TargetMode="External"/><Relationship Id="rId25" Type="http://schemas.openxmlformats.org/officeDocument/2006/relationships/hyperlink" Target="https://nhilaw.com/issues/a1.html" TargetMode="External"/><Relationship Id="rId30" Type="http://schemas.openxmlformats.org/officeDocument/2006/relationships/hyperlink" Target="https://nhilaw.com/issues/b1.html" TargetMode="External"/><Relationship Id="rId31" Type="http://schemas.openxmlformats.org/officeDocument/2006/relationships/hyperlink" Target="https://nhilaw.com/issues/c1.html" TargetMode="External"/><Relationship Id="rId27" Type="http://schemas.openxmlformats.org/officeDocument/2006/relationships/hyperlink" Target="https://nhilaw.com/issues/e1.html" TargetMode="External"/><Relationship Id="rId21" Type="http://schemas.openxmlformats.org/officeDocument/2006/relationships/hyperlink" Target="https://nhilaw.com/issues/e6.html" TargetMode="External"/><Relationship Id="rId28" Type="http://schemas.openxmlformats.org/officeDocument/2006/relationships/hyperlink" Target="https://nhilaw.com/issues/f1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9" Type="http://schemas.openxmlformats.org/officeDocument/2006/relationships/hyperlink" Target="https://nhilaw.com/forms/f1-2.html" TargetMode="External"/><Relationship Id="rId25" Type="http://schemas.openxmlformats.org/officeDocument/2006/relationships/hyperlink" Target="https://nhilaw.com/issues/a1.html" TargetMode="External"/><Relationship Id="rId30" Type="http://schemas.openxmlformats.org/officeDocument/2006/relationships/hyperlink" Target="https://nhilaw.com/issues/b1.html" TargetMode="External"/><Relationship Id="rId31" Type="http://schemas.openxmlformats.org/officeDocument/2006/relationships/hyperlink" Target="https://nhilaw.com/issues/c1.html" TargetMode="External"/><Relationship Id="rId27" Type="http://schemas.openxmlformats.org/officeDocument/2006/relationships/hyperlink" Target="https://nhilaw.com/issues/e1.html" TargetMode="External"/><Relationship Id="rId21" Type="http://schemas.openxmlformats.org/officeDocument/2006/relationships/hyperlink" Target="https://nhilaw.com/issues/e6.html" TargetMode="External"/><Relationship Id="rId28" Type="http://schemas.openxmlformats.org/officeDocument/2006/relationships/hyperlink" Target="https://nhilaw.com/issues/f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Intellectual Property in UAP-Derived Technology: Secrecy Orders, Government Use, and Patentability</dc:title>
  <dc:creator>nhilaw.com</dc:creator>
  <cp:keywords/>
  <dcterms:created xsi:type="dcterms:W3CDTF">2026-10-19T03:14:03Z</dcterms:created>
  <dcterms:modified xsi:type="dcterms:W3CDTF">2026-10-19T03:14:03Z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nhilaw.com/issues/e2.html</vt:lpwstr>
  </property>
</Properties>
</file>