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Who Owns a Found Piece of a Craft? Finders Law, Meteorite Precedent, Federal Land, and Sovereign Claims</w:t>
      </w:r>
    </w:p>
    <w:p>
      <w:pPr>
        <w:pStyle w:val="Subtitle"/>
      </w:pPr>
      <w:r>
        <w:t xml:space="preserve">Version 1.10 · October 2026 · nhilaw.com/issues/e3.html</w:t>
      </w:r>
    </w:p>
    <w:p>
      <w:pPr>
        <w:pStyle w:val="FirstParagraph"/>
      </w:pPr>
      <w:r>
        <w:rPr>
          <w:iCs/>
          <w:i/>
        </w:rPr>
        <w:t xml:space="preserve">Version 1.10, October 2026. Legal information, not legal advice. Published by the</w:t>
      </w:r>
      <w:r>
        <w:rPr>
          <w:iCs/>
          <w:i/>
        </w:rPr>
        <w:t xml:space="preserve"> </w:t>
      </w:r>
      <w:hyperlink r:id="rId20">
        <w:r>
          <w:rPr>
            <w:rStyle w:val="Hyperlink"/>
            <w:iCs/>
            <w:i/>
          </w:rPr>
          <w:t xml:space="preserve">Emergent Frontiers Institute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(NHI Law is not a law firm). Citations checked in October 2026; check every citation before relying on it.</w:t>
      </w:r>
    </w:p>
    <w:p>
      <w:r>
        <w:pict>
          <v:rect style="width:0;height:1.5pt" o:hralign="center" o:hrstd="t" o:hr="t"/>
        </w:pict>
      </w:r>
    </w:p>
    <w:bookmarkStart w:id="22" w:name="key-points"/>
    <w:p>
      <w:pPr>
        <w:pStyle w:val="Heading2"/>
      </w:pPr>
      <w:r>
        <w:t xml:space="preserve">Key points</w:t>
      </w:r>
    </w:p>
    <w:p>
      <w:pPr>
        <w:pStyle w:val="Compact"/>
        <w:numPr>
          <w:ilvl w:val="0"/>
          <w:numId w:val="1001"/>
        </w:numPr>
      </w:pPr>
      <w:r>
        <w:t xml:space="preserve">Material of unknown or non-human origin found on private land most likely belongs to the landowner, by analogy to the meteorite cases (</w:t>
      </w:r>
      <w:r>
        <w:rPr>
          <w:iCs/>
          <w:i/>
        </w:rPr>
        <w:t xml:space="preserve">Goddard v. Winchell</w:t>
      </w:r>
      <w:r>
        <w:t xml:space="preserve">;</w:t>
      </w:r>
      <w:r>
        <w:t xml:space="preserve"> </w:t>
      </w:r>
      <w:r>
        <w:rPr>
          <w:iCs/>
          <w:i/>
        </w:rPr>
        <w:t xml:space="preserve">Oregon Iron Co. v. Hughes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On federal land collection is restricted (BLM, NPS); on tribal land tribal law governs and NAGPRA may apply; debris from a U.S. or foreign government craft stays that government’s property absent express abandonment.</w:t>
      </w:r>
    </w:p>
    <w:p>
      <w:pPr>
        <w:pStyle w:val="Compact"/>
        <w:numPr>
          <w:ilvl w:val="0"/>
          <w:numId w:val="1001"/>
        </w:numPr>
      </w:pPr>
      <w:r>
        <w:t xml:space="preserve">The government has recovered privately held extraterrestrial material before, by forfeiture (</w:t>
      </w:r>
      <w:r>
        <w:rPr>
          <w:iCs/>
          <w:i/>
        </w:rPr>
        <w:t xml:space="preserve">One Lucite Ball</w:t>
      </w:r>
      <w:r>
        <w:t xml:space="preserve">) and by seizure in an investigation (</w:t>
      </w:r>
      <w:r>
        <w:rPr>
          <w:iCs/>
          <w:i/>
        </w:rPr>
        <w:t xml:space="preserve">Davis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Document the find in place (photographs, GPS, witnesses), confirm land status, get the landowner’s written assignment, and start a chain-of-custody record at once (</w:t>
      </w:r>
      <w:hyperlink r:id="rId21">
        <w:r>
          <w:rPr>
            <w:rStyle w:val="Hyperlink"/>
          </w:rPr>
          <w:t xml:space="preserve">Form E3-1</w:t>
        </w:r>
      </w:hyperlink>
      <w:r>
        <w:t xml:space="preserve">).</w:t>
      </w:r>
    </w:p>
    <w:p>
      <w:r>
        <w:pict>
          <v:rect style="width:0;height:1.5pt" o:hralign="center" o:hrstd="t" o:hr="t"/>
        </w:pict>
      </w:r>
    </w:p>
    <w:bookmarkEnd w:id="22"/>
    <w:bookmarkStart w:id="24" w:name="summary"/>
    <w:p>
      <w:pPr>
        <w:pStyle w:val="Heading2"/>
      </w:pPr>
      <w:r>
        <w:t xml:space="preserve">1. Summary</w:t>
      </w:r>
    </w:p>
    <w:p>
      <w:pPr>
        <w:pStyle w:val="FirstParagraph"/>
      </w:pPr>
      <w:r>
        <w:t xml:space="preserve">Material found by private persons (debris, fragments, artifacts) raises ownership questions that existing law</w:t>
      </w:r>
      <w:r>
        <w:t xml:space="preserve"> </w:t>
      </w:r>
      <w:r>
        <w:t xml:space="preserve">answers by analogy. The answer depends on where the material was found and on who may claim to have owned it.</w:t>
      </w:r>
    </w:p>
    <w:tbl>
      <w:tblPr>
        <w:tblStyle w:val="Table"/>
        <w:tblW w:type="pct" w:w="5000"/>
        <w:jc w:val="start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Setting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Likely owner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Authority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Embedded in or lying on private land, origin non-human or unknown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Landowner, under the meteorite rule (material that arrives naturally becomes part of the land)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Goddard v. Winchell</w:t>
            </w:r>
            <w:r>
              <w:t xml:space="preserve">, 86 Iowa 71, 52 N.W. 1124 (1892);</w:t>
            </w:r>
            <w:r>
              <w:t xml:space="preserve"> </w:t>
            </w:r>
            <w:r>
              <w:rPr>
                <w:iCs/>
                <w:i/>
              </w:rPr>
              <w:t xml:space="preserve">Oregon Iron Co. v. Hughes</w:t>
            </w:r>
            <w:r>
              <w:t xml:space="preserve">, 47 Or. 313, 81 P. 572 (1905) (Willamette meteorite)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Found on private land, but traceable to a human-owned craft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Owner of the craft, unless abandoned; finder may have rights against all but the true owner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Common law of finds (lost, mislaid, abandoned property); state finder statutes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On federal land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United States; collection may be prohibited or regulated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Property Clause; 43 C.F.R. part 8360 (BLM rules, including meteorite collection policy); 36 C.F.R. §2.1 (NPS prohibits removal); ARPA, 16 U.S.C. §§470aa-470mm, protects</w:t>
            </w:r>
            <w:r>
              <w:t xml:space="preserve"> </w:t>
            </w:r>
            <w:r>
              <w:t xml:space="preserve">“</w:t>
            </w:r>
            <w:r>
              <w:t xml:space="preserve">material remains of past</w:t>
            </w:r>
            <w:r>
              <w:t xml:space="preserve"> </w:t>
            </w:r>
            <w:r>
              <w:rPr>
                <w:iCs/>
                <w:i/>
              </w:rPr>
              <w:t xml:space="preserve">human</w:t>
            </w:r>
            <w:r>
              <w:t xml:space="preserve"> </w:t>
            </w:r>
            <w:r>
              <w:t xml:space="preserve">life or activities</w:t>
            </w:r>
            <w:r>
              <w:t xml:space="preserve">”</w:t>
            </w:r>
            <w:r>
              <w:t xml:space="preserve"> </w:t>
            </w:r>
            <w:r>
              <w:t xml:space="preserve">at least 100 years old (§470bb(1)), so it would reach material of non-human origin only if the item were itself a remain of past human activity (for example, an object people had worked, used, or buried more than a century ago)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On tribal land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tribe, under tribal law and federal Indian law; state finders law generally does not apply within reservation boundaries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ARPA covers</w:t>
            </w:r>
            <w:r>
              <w:t xml:space="preserve"> </w:t>
            </w:r>
            <w:r>
              <w:t xml:space="preserve">“</w:t>
            </w:r>
            <w:r>
              <w:t xml:space="preserve">Indian lands</w:t>
            </w:r>
            <w:r>
              <w:t xml:space="preserve">”</w:t>
            </w:r>
            <w:r>
              <w:t xml:space="preserve"> </w:t>
            </w:r>
            <w:r>
              <w:t xml:space="preserve">(16 U.S.C. §470bb(4)) and conditions permits for excavation there on tribal consent (§470cc(g)(2)); NAGPRA gives tribes ownership of</w:t>
            </w:r>
            <w:r>
              <w:t xml:space="preserve"> </w:t>
            </w:r>
            <w:r>
              <w:t xml:space="preserve">“</w:t>
            </w:r>
            <w:r>
              <w:t xml:space="preserve">Native American cultural items</w:t>
            </w:r>
            <w:r>
              <w:t xml:space="preserve">”</w:t>
            </w:r>
            <w:r>
              <w:t xml:space="preserve"> </w:t>
            </w:r>
            <w:r>
              <w:t xml:space="preserve">discovered on</w:t>
            </w:r>
            <w:r>
              <w:t xml:space="preserve"> </w:t>
            </w:r>
            <w:r>
              <w:t xml:space="preserve">“</w:t>
            </w:r>
            <w:r>
              <w:t xml:space="preserve">tribal land</w:t>
            </w:r>
            <w:r>
              <w:t xml:space="preserve">”</w:t>
            </w:r>
            <w:r>
              <w:t xml:space="preserve"> </w:t>
            </w:r>
            <w:r>
              <w:t xml:space="preserve">after Nov. 16, 1990 (25 U.S.C. §3002(a)) and requires written notice of inadvertent discoveries (§3002(d)).</w:t>
            </w:r>
            <w:r>
              <w:t xml:space="preserve"> </w:t>
            </w:r>
            <w:r>
              <w:t xml:space="preserve">“</w:t>
            </w:r>
            <w:r>
              <w:t xml:space="preserve">Native American</w:t>
            </w:r>
            <w:r>
              <w:t xml:space="preserve">”</w:t>
            </w:r>
            <w:r>
              <w:t xml:space="preserve"> </w:t>
            </w:r>
            <w:r>
              <w:t xml:space="preserve">means</w:t>
            </w:r>
            <w:r>
              <w:t xml:space="preserve"> </w:t>
            </w:r>
            <w:r>
              <w:t xml:space="preserve">“</w:t>
            </w:r>
            <w:r>
              <w:t xml:space="preserve">of, or relating to, a tribe, people, or culture that is indigenous to the United States</w:t>
            </w:r>
            <w:r>
              <w:t xml:space="preserve">”</w:t>
            </w:r>
            <w:r>
              <w:t xml:space="preserve"> </w:t>
            </w:r>
            <w:r>
              <w:t xml:space="preserve">(§3001(9)), so NHI remains or artifacts would fall under NAGPRA only if a tribe showed a cultural relationship to them. Report any discovery on reservation land to the tribe first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From a U.S. government aircraft or craft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United States; government property is not abandoned without express act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Sea Hunt, Inc. v. Unidentified Shipwrecked Vessel</w:t>
            </w:r>
            <w:r>
              <w:t xml:space="preserve">, 221 F.3d 634 (4th Cir. 2000) (express abandonment required for sovereign vessels); Sunken Military Craft Act, 10 U.S.C. §113 note (2004)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From a foreign state’s craft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Foreign state, which may assert sovereign immunity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Odyssey Marine Exploration, Inc. v. Unidentified Shipwrecked Vessel</w:t>
            </w:r>
            <w:r>
              <w:t xml:space="preserve">, 657 F.3d 1159 (11th Cir. 2011);</w:t>
            </w:r>
            <w:r>
              <w:t xml:space="preserve"> </w:t>
            </w:r>
            <w:r>
              <w:rPr>
                <w:iCs/>
                <w:i/>
              </w:rPr>
              <w:t xml:space="preserve">Global Marine Exploration, Inc. v. Republic of France</w:t>
            </w:r>
            <w:r>
              <w:t xml:space="preserve">, 151 F.4th 1296 (11th Cir. 2025)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Claimed by the U.S. government on national security grounds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Contested; government may assert ownership, seize, or condemn (</w:t>
            </w:r>
            <w:hyperlink r:id="rId23">
              <w:r>
                <w:rPr>
                  <w:rStyle w:val="Hyperlink"/>
                </w:rPr>
                <w:t xml:space="preserve">Issue E1</w:t>
              </w:r>
            </w:hyperlink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Fifth Amendment; H.R. 8800 §1767 (proposed)</w:t>
            </w:r>
          </w:p>
        </w:tc>
      </w:tr>
    </w:tbl>
    <w:p>
      <w:pPr>
        <w:pStyle w:val="BodyText"/>
      </w:pPr>
      <w:r>
        <w:t xml:space="preserve">A non-human craft has no recognized sovereign owner under current law. Material from it found on private land is</w:t>
      </w:r>
      <w:r>
        <w:t xml:space="preserve"> </w:t>
      </w:r>
      <w:r>
        <w:t xml:space="preserve">best analogized to a meteorite: it belongs to the landowner. The government would argue, in the alternative, that</w:t>
      </w:r>
      <w:r>
        <w:t xml:space="preserve"> </w:t>
      </w:r>
      <w:r>
        <w:t xml:space="preserve">material connected to a government recovery operation is government property (for example, debris collected by,</w:t>
      </w:r>
      <w:r>
        <w:t xml:space="preserve"> </w:t>
      </w:r>
      <w:r>
        <w:t xml:space="preserve">or crash sites controlled by, the government), or would take it with compensation.</w:t>
      </w:r>
    </w:p>
    <w:p>
      <w:r>
        <w:pict>
          <v:rect style="width:0;height:1.5pt" o:hralign="center" o:hrstd="t" o:hr="t"/>
        </w:pict>
      </w:r>
    </w:p>
    <w:bookmarkEnd w:id="24"/>
    <w:bookmarkStart w:id="25" w:name="common-law-of-finds"/>
    <w:p>
      <w:pPr>
        <w:pStyle w:val="Heading2"/>
      </w:pPr>
      <w:r>
        <w:t xml:space="preserve">2. Common law of finds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Lost property</w:t>
      </w:r>
      <w:r>
        <w:t xml:space="preserve"> </w:t>
      </w:r>
      <w:r>
        <w:t xml:space="preserve">(unintentionally parted with): finder’s title good against all but the true owner.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Mislaid property</w:t>
      </w:r>
      <w:r>
        <w:t xml:space="preserve"> </w:t>
      </w:r>
      <w:r>
        <w:t xml:space="preserve">(intentionally placed and forgotten): owner of the premises holds for the true owner.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Abandoned property</w:t>
      </w:r>
      <w:r>
        <w:t xml:space="preserve">: title to the first person who takes possession with intent to own.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Embedded property</w:t>
      </w:r>
      <w:r>
        <w:t xml:space="preserve"> </w:t>
      </w:r>
      <w:r>
        <w:t xml:space="preserve">(property that has become part of the soil): belongs to the landowner, as with</w:t>
      </w:r>
      <w:r>
        <w:t xml:space="preserve"> </w:t>
      </w:r>
      <w:r>
        <w:t xml:space="preserve">meteorites under</w:t>
      </w:r>
      <w:r>
        <w:t xml:space="preserve"> </w:t>
      </w:r>
      <w:r>
        <w:rPr>
          <w:iCs/>
          <w:i/>
        </w:rPr>
        <w:t xml:space="preserve">Goddard v. Winchell</w:t>
      </w:r>
      <w:r>
        <w:t xml:space="preserve">.</w:t>
      </w:r>
      <w:r>
        <w:t xml:space="preserve"> </w:t>
      </w:r>
      <w:r>
        <w:rPr>
          <w:iCs/>
          <w:i/>
        </w:rPr>
        <w:t xml:space="preserve">Ritz v. Selma United Methodist Church</w:t>
      </w:r>
      <w:r>
        <w:t xml:space="preserve">, 467 N.W.2d 266, 268-69 (Iowa</w:t>
      </w:r>
      <w:r>
        <w:t xml:space="preserve"> </w:t>
      </w:r>
      <w:r>
        <w:t xml:space="preserve">1991), states the lost, mislaid, abandoned, and treasure trove categories and shows the limits of the embedded</w:t>
      </w:r>
      <w:r>
        <w:t xml:space="preserve"> </w:t>
      </w:r>
      <w:r>
        <w:t xml:space="preserve">category: currency buried in jars and tin cans</w:t>
      </w:r>
      <w:r>
        <w:t xml:space="preserve"> </w:t>
      </w:r>
      <w:r>
        <w:t xml:space="preserve">“</w:t>
      </w:r>
      <w:r>
        <w:t xml:space="preserve">did not bear the characteristics of property embedded in the</w:t>
      </w:r>
      <w:r>
        <w:t xml:space="preserve"> </w:t>
      </w:r>
      <w:r>
        <w:t xml:space="preserve">soil,</w:t>
      </w:r>
      <w:r>
        <w:t xml:space="preserve">”</w:t>
      </w:r>
      <w:r>
        <w:t xml:space="preserve"> </w:t>
      </w:r>
      <w:r>
        <w:t xml:space="preserve">because the burial showed the owner was trying to preserve it, so the former owner’s estate kept title</w:t>
      </w:r>
      <w:r>
        <w:t xml:space="preserve"> </w:t>
      </w:r>
      <w:r>
        <w:t xml:space="preserve">against both the finder and the later landowner. Material that a person deliberately concealed (a recovered</w:t>
      </w:r>
      <w:r>
        <w:t xml:space="preserve"> </w:t>
      </w:r>
      <w:r>
        <w:t xml:space="preserve">fragment hidden by a witness, for example) would be treated the same way. KeyCite shows a yellow flag (</w:t>
      </w:r>
      <w:r>
        <w:t xml:space="preserve">“</w:t>
      </w:r>
      <w:r>
        <w:t xml:space="preserve">declined to extend</w:t>
      </w:r>
      <w:r>
        <w:t xml:space="preserve">”</w:t>
      </w:r>
      <w:r>
        <w:t xml:space="preserve"> </w:t>
      </w:r>
      <w:r>
        <w:t xml:space="preserve">by</w:t>
      </w:r>
      <w:r>
        <w:t xml:space="preserve"> </w:t>
      </w:r>
      <w:r>
        <w:rPr>
          <w:iCs/>
          <w:i/>
        </w:rPr>
        <w:t xml:space="preserve">In re Estate of Sampson</w:t>
      </w:r>
      <w:r>
        <w:t xml:space="preserve">, 838 N.W.2d 663 (Iowa 2013)).</w:t>
      </w:r>
      <w:r>
        <w:t xml:space="preserve"> </w:t>
      </w:r>
      <w:r>
        <w:rPr>
          <w:iCs/>
          <w:i/>
        </w:rPr>
        <w:t xml:space="preserve">Sampson</w:t>
      </w:r>
      <w:r>
        <w:t xml:space="preserve"> </w:t>
      </w:r>
      <w:r>
        <w:t xml:space="preserve">concerns only</w:t>
      </w:r>
      <w:r>
        <w:t xml:space="preserve"> </w:t>
      </w:r>
      <w:r>
        <w:rPr>
          <w:iCs/>
          <w:i/>
        </w:rPr>
        <w:t xml:space="preserve">Ritz</w:t>
      </w:r>
      <w:r>
        <w:t xml:space="preserve">’s probate holding, that</w:t>
      </w:r>
      <w:r>
        <w:t xml:space="preserve"> </w:t>
      </w:r>
      <w:r>
        <w:t xml:space="preserve">an estate may be reopened under Iowa Code §633.489 to administer newly discovered property; it declined to apply</w:t>
      </w:r>
      <w:r>
        <w:t xml:space="preserve"> </w:t>
      </w:r>
      <w:r>
        <w:t xml:space="preserve">that rule to an attempt to redistribute property already disposed of in the final settlement. The finders-law</w:t>
      </w:r>
      <w:r>
        <w:t xml:space="preserve"> </w:t>
      </w:r>
      <w:r>
        <w:t xml:space="preserve">discussion in</w:t>
      </w:r>
      <w:r>
        <w:t xml:space="preserve"> </w:t>
      </w:r>
      <w:r>
        <w:rPr>
          <w:iCs/>
          <w:i/>
        </w:rPr>
        <w:t xml:space="preserve">Ritz</w:t>
      </w:r>
      <w:r>
        <w:t xml:space="preserve"> </w:t>
      </w:r>
      <w:r>
        <w:t xml:space="preserve">is unaffected.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Possession and first claim.</w:t>
      </w:r>
      <w:r>
        <w:t xml:space="preserve"> </w:t>
      </w:r>
      <w:r>
        <w:t xml:space="preserve">Lawyers know the rule from</w:t>
      </w:r>
      <w:r>
        <w:t xml:space="preserve"> </w:t>
      </w:r>
      <w:r>
        <w:rPr>
          <w:iCs/>
          <w:i/>
        </w:rPr>
        <w:t xml:space="preserve">Armory v. Delamirie</w:t>
      </w:r>
      <w:r>
        <w:t xml:space="preserve"> </w:t>
      </w:r>
      <w:r>
        <w:t xml:space="preserve">(K.B. 1722): a finder’s title is</w:t>
      </w:r>
      <w:r>
        <w:t xml:space="preserve"> </w:t>
      </w:r>
      <w:r>
        <w:t xml:space="preserve">good against everyone but the true owner. When two people claim the same found object, a court may split it: in</w:t>
      </w:r>
      <w:r>
        <w:t xml:space="preserve"> </w:t>
      </w:r>
      <w:r>
        <w:rPr>
          <w:iCs/>
          <w:i/>
        </w:rPr>
        <w:t xml:space="preserve">Popov v. Hayashi</w:t>
      </w:r>
      <w:r>
        <w:t xml:space="preserve">, 2002 WL 31833731 (Cal. Super. Ct. Dec. 18, 2002), the fan who first got a grip on a</w:t>
      </w:r>
      <w:r>
        <w:t xml:space="preserve"> </w:t>
      </w:r>
      <w:r>
        <w:t xml:space="preserve">record home-run ball and the fan who ended up with it were given equal, undivided interests, and the ball was sold.</w:t>
      </w:r>
      <w:r>
        <w:t xml:space="preserve"> </w:t>
      </w:r>
      <w:r>
        <w:t xml:space="preserve">Idaho’s appellate court gave buried gold coins to the landowner over the excavator who found them.</w:t>
      </w:r>
      <w:r>
        <w:t xml:space="preserve"> </w:t>
      </w:r>
      <w:r>
        <w:rPr>
          <w:iCs/>
          <w:i/>
        </w:rPr>
        <w:t xml:space="preserve">Corliss v.</w:t>
      </w:r>
      <w:r>
        <w:rPr>
          <w:iCs/>
          <w:i/>
        </w:rPr>
        <w:t xml:space="preserve"> </w:t>
      </w:r>
      <w:r>
        <w:rPr>
          <w:iCs/>
          <w:i/>
        </w:rPr>
        <w:t xml:space="preserve">Wenner</w:t>
      </w:r>
      <w:r>
        <w:t xml:space="preserve">, 136 Idaho 417, 34 P.3d 1100 (Ct. App. 2001).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Treasure trove</w:t>
      </w:r>
      <w:r>
        <w:t xml:space="preserve"> </w:t>
      </w:r>
      <w:r>
        <w:t xml:space="preserve">(gold, silver, currency concealed by an unknown owner): recognized in some states; unlikely to</w:t>
      </w:r>
      <w:r>
        <w:t xml:space="preserve"> </w:t>
      </w:r>
      <w:r>
        <w:t xml:space="preserve">apply to craft debris.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State statutes</w:t>
      </w:r>
      <w:r>
        <w:t xml:space="preserve"> </w:t>
      </w:r>
      <w:r>
        <w:t xml:space="preserve">often require finders to report found property to police and allow the finder to claim it</w:t>
      </w:r>
      <w:r>
        <w:t xml:space="preserve"> </w:t>
      </w:r>
      <w:r>
        <w:t xml:space="preserve">after a period if the owner does not; California’s lost-property statute (Cal. Civ. Code §§2080-2080.10) and New</w:t>
      </w:r>
      <w:r>
        <w:t xml:space="preserve"> </w:t>
      </w:r>
      <w:r>
        <w:t xml:space="preserve">York’s (N.Y. Pers. Prop. Law §§251-258) are examples. Check the statute of the state where the find occurred</w:t>
      </w:r>
      <w:r>
        <w:t xml:space="preserve"> </w:t>
      </w:r>
      <w:r>
        <w:t xml:space="preserve">before anyone moves the material.</w:t>
      </w:r>
    </w:p>
    <w:bookmarkEnd w:id="25"/>
    <w:bookmarkStart w:id="28" w:name="meteorite-precedent"/>
    <w:p>
      <w:pPr>
        <w:pStyle w:val="Heading2"/>
      </w:pPr>
      <w:r>
        <w:t xml:space="preserve">3. Meteorite precedent</w:t>
      </w:r>
    </w:p>
    <w:p>
      <w:pPr>
        <w:pStyle w:val="Compact"/>
        <w:numPr>
          <w:ilvl w:val="0"/>
          <w:numId w:val="1003"/>
        </w:numPr>
      </w:pPr>
      <w:r>
        <w:rPr>
          <w:iCs/>
          <w:i/>
        </w:rPr>
        <w:t xml:space="preserve">Goddard v. Winchell</w:t>
      </w:r>
      <w:r>
        <w:t xml:space="preserve"> </w:t>
      </w:r>
      <w:r>
        <w:t xml:space="preserve">(Iowa 1892): a meteorite that fell on land and became embedded belonged to the</w:t>
      </w:r>
      <w:r>
        <w:t xml:space="preserve"> </w:t>
      </w:r>
      <w:r>
        <w:t xml:space="preserve">landowner, who prevailed over the finder because the meteorite became part of the soil.</w:t>
      </w:r>
    </w:p>
    <w:p>
      <w:pPr>
        <w:pStyle w:val="Compact"/>
        <w:numPr>
          <w:ilvl w:val="0"/>
          <w:numId w:val="1003"/>
        </w:numPr>
      </w:pPr>
      <w:r>
        <w:rPr>
          <w:iCs/>
          <w:i/>
        </w:rPr>
        <w:t xml:space="preserve">Oregon Iron Co. v. Hughes</w:t>
      </w:r>
      <w:r>
        <w:t xml:space="preserve"> </w:t>
      </w:r>
      <w:r>
        <w:t xml:space="preserve">(Or. 1905): the Willamette meteorite belonged to the landowner, and the neighbor who</w:t>
      </w:r>
      <w:r>
        <w:t xml:space="preserve"> </w:t>
      </w:r>
      <w:r>
        <w:t xml:space="preserve">moved it acquired no title.</w:t>
      </w:r>
    </w:p>
    <w:p>
      <w:pPr>
        <w:pStyle w:val="Compact"/>
        <w:numPr>
          <w:ilvl w:val="0"/>
          <w:numId w:val="1003"/>
        </w:numPr>
      </w:pPr>
      <w:r>
        <w:rPr>
          <w:iCs/>
          <w:i/>
        </w:rPr>
        <w:t xml:space="preserve">Karlsson v. Sherman</w:t>
      </w:r>
      <w:r>
        <w:t xml:space="preserve">, 720 F. Supp. 3d 886 (C.D. Cal. 2024): in a dispute over two .45 caliber pistols made</w:t>
      </w:r>
      <w:r>
        <w:t xml:space="preserve"> </w:t>
      </w:r>
      <w:r>
        <w:t xml:space="preserve">of meteorite ore, the court held that an auction house’s perfected security interest as consignee had</w:t>
      </w:r>
      <w:r>
        <w:t xml:space="preserve"> </w:t>
      </w:r>
      <w:r>
        <w:t xml:space="preserve">priority over the competing ownership claims, and the remaining title claims between the parties were</w:t>
      </w:r>
      <w:r>
        <w:t xml:space="preserve"> </w:t>
      </w:r>
      <w:r>
        <w:t xml:space="preserve">resolved in later rulings (2024 WL 2209796 (C.D. Cal. Apr. 10, 2024)). The case shows that once</w:t>
      </w:r>
      <w:r>
        <w:t xml:space="preserve"> </w:t>
      </w:r>
      <w:r>
        <w:t xml:space="preserve">extraterrestrial material enters commerce, its ownership is decided under ordinary contract and UCC</w:t>
      </w:r>
      <w:r>
        <w:t xml:space="preserve"> </w:t>
      </w:r>
      <w:r>
        <w:t xml:space="preserve">Article 9 rules, without regard to where the material came from.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Federal policy</w:t>
      </w:r>
      <w:r>
        <w:t xml:space="preserve">: BLM permits casual collection of small quantities of meteorites on public lands for</w:t>
      </w:r>
      <w:r>
        <w:t xml:space="preserve"> </w:t>
      </w:r>
      <w:r>
        <w:t xml:space="preserve">non-commercial purposes and requires permits for others; meteorites on National Park lands may not be</w:t>
      </w:r>
      <w:r>
        <w:t xml:space="preserve"> </w:t>
      </w:r>
      <w:r>
        <w:t xml:space="preserve">collected (National Park System: 36 C.F.R. §2.1(a)(1) prohibits</w:t>
      </w:r>
      <w:r>
        <w:t xml:space="preserve"> </w:t>
      </w:r>
      <w:r>
        <w:t xml:space="preserve">“</w:t>
      </w:r>
      <w:r>
        <w:t xml:space="preserve">[p]ossessing, destroying, injuring, defacing,</w:t>
      </w:r>
      <w:r>
        <w:t xml:space="preserve"> </w:t>
      </w:r>
      <w:r>
        <w:t xml:space="preserve">removing, digging, or disturbing from its natural state</w:t>
      </w:r>
      <w:r>
        <w:t xml:space="preserve">”</w:t>
      </w:r>
      <w:r>
        <w:t xml:space="preserve"> </w:t>
      </w:r>
      <w:r>
        <w:t xml:space="preserve">paleontological specimens, cultural or archeological</w:t>
      </w:r>
      <w:r>
        <w:t xml:space="preserve"> </w:t>
      </w:r>
      <w:r>
        <w:t xml:space="preserve">resources, and mineral resources). BLM Instruction Memorandum 2012-182 confirms casual</w:t>
      </w:r>
      <w:r>
        <w:t xml:space="preserve"> </w:t>
      </w:r>
      <w:r>
        <w:t xml:space="preserve">collection without a permit under 43 C.F.R. §8365.1-5: surface collection only, up to what can be hand-carried</w:t>
      </w:r>
      <w:r>
        <w:t xml:space="preserve"> </w:t>
      </w:r>
      <w:r>
        <w:t xml:space="preserve">and no more than ten pounds per person per year, for personal use (no sale or barter); closed in developed</w:t>
      </w:r>
      <w:r>
        <w:t xml:space="preserve"> </w:t>
      </w:r>
      <w:r>
        <w:t xml:space="preserve">recreation sites, certain National Landscape Conservation System units, wilderness, and areas closed by land</w:t>
      </w:r>
      <w:r>
        <w:t xml:space="preserve"> </w:t>
      </w:r>
      <w:r>
        <w:t xml:space="preserve">use plans; scientific collection requires an Antiquities Act permit, and specimens remain BLM property; commercial</w:t>
      </w:r>
      <w:r>
        <w:t xml:space="preserve"> </w:t>
      </w:r>
      <w:r>
        <w:t xml:space="preserve">collection requires a FLPMA permit.</w:t>
      </w:r>
    </w:p>
    <w:p>
      <w:pPr>
        <w:pStyle w:val="FirstParagraph"/>
      </w:pPr>
      <w:r>
        <w:t xml:space="preserve">The meteorite cases rest on the theory that natural objects arriving on land become part of it. A crafted object</w:t>
      </w:r>
      <w:r>
        <w:t xml:space="preserve"> </w:t>
      </w:r>
      <w:r>
        <w:t xml:space="preserve">is different (it was made and, arguably, owned), but if no owner can claim it, the landowner rule is the natural</w:t>
      </w:r>
      <w:r>
        <w:t xml:space="preserve"> </w:t>
      </w:r>
      <w:r>
        <w:t xml:space="preserve">default.</w:t>
      </w:r>
    </w:p>
    <w:bookmarkStart w:id="26" w:name="moon-rocks-the-closest-real-precedent"/>
    <w:p>
      <w:pPr>
        <w:pStyle w:val="Heading3"/>
      </w:pPr>
      <w:r>
        <w:t xml:space="preserve">3.1 Moon rocks: the closest real precedent</w:t>
      </w:r>
    </w:p>
    <w:p>
      <w:pPr>
        <w:pStyle w:val="FirstParagraph"/>
      </w:pPr>
      <w:r>
        <w:t xml:space="preserve">The government has recovered extraterrestrial material from private hands before. A lunar sample and plaque given</w:t>
      </w:r>
      <w:r>
        <w:t xml:space="preserve"> </w:t>
      </w:r>
      <w:r>
        <w:t xml:space="preserve">by the United States to Honduras were found in private hands in the United States; the government sued in rem and</w:t>
      </w:r>
      <w:r>
        <w:t xml:space="preserve"> </w:t>
      </w:r>
      <w:r>
        <w:t xml:space="preserve">the court found probable cause that they had been stolen, so they were forfeited.</w:t>
      </w:r>
      <w:r>
        <w:t xml:space="preserve"> </w:t>
      </w:r>
      <w:r>
        <w:rPr>
          <w:iCs/>
          <w:i/>
        </w:rPr>
        <w:t xml:space="preserve">United States v. One Lucite Ball</w:t>
      </w:r>
      <w:r>
        <w:rPr>
          <w:iCs/>
          <w:i/>
        </w:rPr>
        <w:t xml:space="preserve"> </w:t>
      </w:r>
      <w:r>
        <w:rPr>
          <w:iCs/>
          <w:i/>
        </w:rPr>
        <w:t xml:space="preserve">Containing Lunar Material</w:t>
      </w:r>
      <w:r>
        <w:t xml:space="preserve">, 252 F. Supp. 2d 1367 (S.D. Fla. 2003). In another case NASA’s inspector general set up a</w:t>
      </w:r>
      <w:r>
        <w:t xml:space="preserve"> </w:t>
      </w:r>
      <w:r>
        <w:t xml:space="preserve">sting to seize a small moon-rock paperweight from a widow who wanted to sell it; the Ninth Circuit held that a jury</w:t>
      </w:r>
      <w:r>
        <w:t xml:space="preserve"> </w:t>
      </w:r>
      <w:r>
        <w:t xml:space="preserve">could find her detention unreasonably prolonged and degrading.</w:t>
      </w:r>
      <w:r>
        <w:t xml:space="preserve"> </w:t>
      </w:r>
      <w:r>
        <w:rPr>
          <w:iCs/>
          <w:i/>
        </w:rPr>
        <w:t xml:space="preserve">Davis v. United States</w:t>
      </w:r>
      <w:r>
        <w:t xml:space="preserve">, 854 F.3d 594 (9th Cir.</w:t>
      </w:r>
      <w:r>
        <w:t xml:space="preserve"> </w:t>
      </w:r>
      <w:r>
        <w:t xml:space="preserve">2017). Together they show the two tools the government uses (forfeiture of material it claims, and seizure in an</w:t>
      </w:r>
      <w:r>
        <w:t xml:space="preserve"> </w:t>
      </w:r>
      <w:r>
        <w:t xml:space="preserve">investigation) and the limit on the second: the Fourth Amendment still governs how an investigation is carried out.</w:t>
      </w:r>
    </w:p>
    <w:bookmarkEnd w:id="26"/>
    <w:bookmarkStart w:id="27" w:name="space-resources"/>
    <w:p>
      <w:pPr>
        <w:pStyle w:val="Heading3"/>
      </w:pPr>
      <w:r>
        <w:t xml:space="preserve">3.2 Space resources</w:t>
      </w:r>
    </w:p>
    <w:p>
      <w:pPr>
        <w:pStyle w:val="FirstParagraph"/>
      </w:pPr>
      <w:r>
        <w:t xml:space="preserve">By statute a U.S. citizen engaged in commercial recovery of a space resource</w:t>
      </w:r>
      <w:r>
        <w:t xml:space="preserve"> </w:t>
      </w:r>
      <w:r>
        <w:t xml:space="preserve">“</w:t>
      </w:r>
      <w:r>
        <w:t xml:space="preserve">shall be entitled to any asteroid</w:t>
      </w:r>
      <w:r>
        <w:t xml:space="preserve"> </w:t>
      </w:r>
      <w:r>
        <w:t xml:space="preserve">resource or space resource obtained, including to possess, own, transport, use, and sell</w:t>
      </w:r>
      <w:r>
        <w:t xml:space="preserve">”</w:t>
      </w:r>
      <w:r>
        <w:t xml:space="preserve"> </w:t>
      </w:r>
      <w:r>
        <w:t xml:space="preserve">it (51 U.S.C. §51303), and</w:t>
      </w:r>
      <w:r>
        <w:t xml:space="preserve"> </w:t>
      </w:r>
      <w:r>
        <w:t xml:space="preserve">the Artemis Accords (2020) take the position that extracting space resources is not national appropriation under the</w:t>
      </w:r>
      <w:r>
        <w:t xml:space="preserve"> </w:t>
      </w:r>
      <w:r>
        <w:t xml:space="preserve">Outer Space Treaty. The statute covers resources extracted in space,</w:t>
      </w:r>
      <w:r>
        <w:t xml:space="preserve"> </w:t>
      </w:r>
      <w:r>
        <w:t xml:space="preserve">not objects that arrive on Earth, but it shows that U.S. law recognizes private ownership of extraterrestrial</w:t>
      </w:r>
      <w:r>
        <w:t xml:space="preserve"> </w:t>
      </w:r>
      <w:r>
        <w:t xml:space="preserve">material.</w:t>
      </w:r>
    </w:p>
    <w:bookmarkEnd w:id="27"/>
    <w:bookmarkEnd w:id="28"/>
    <w:bookmarkStart w:id="30" w:name="sovereign-claims"/>
    <w:p>
      <w:pPr>
        <w:pStyle w:val="Heading2"/>
      </w:pPr>
      <w:r>
        <w:t xml:space="preserve">4. Sovereign claims</w:t>
      </w:r>
    </w:p>
    <w:p>
      <w:pPr>
        <w:pStyle w:val="Compact"/>
        <w:numPr>
          <w:ilvl w:val="0"/>
          <w:numId w:val="1004"/>
        </w:numPr>
      </w:pPr>
      <w:r>
        <w:rPr>
          <w:bCs/>
          <w:b/>
        </w:rPr>
        <w:t xml:space="preserve">United States property.</w:t>
      </w:r>
      <w:r>
        <w:t xml:space="preserve"> </w:t>
      </w:r>
      <w:r>
        <w:t xml:space="preserve">Government property is not abandoned through lapse of time or nonuse; abandonment</w:t>
      </w:r>
      <w:r>
        <w:t xml:space="preserve"> </w:t>
      </w:r>
      <w:r>
        <w:t xml:space="preserve">requires express action by an authorized official. The Sunken Military Craft Act codifies this for U.S. and</w:t>
      </w:r>
      <w:r>
        <w:t xml:space="preserve"> </w:t>
      </w:r>
      <w:r>
        <w:t xml:space="preserve">foreign military craft and aircraft, including wrecks, and prohibits disturbance without permission. Crashed</w:t>
      </w:r>
      <w:r>
        <w:t xml:space="preserve"> </w:t>
      </w:r>
      <w:r>
        <w:t xml:space="preserve">U.S. military aircraft on land are likewise government property.</w:t>
      </w:r>
    </w:p>
    <w:p>
      <w:pPr>
        <w:pStyle w:val="Compact"/>
        <w:numPr>
          <w:ilvl w:val="0"/>
          <w:numId w:val="1004"/>
        </w:numPr>
      </w:pPr>
      <w:r>
        <w:rPr>
          <w:bCs/>
          <w:b/>
        </w:rPr>
        <w:t xml:space="preserve">Foreign sovereigns.</w:t>
      </w:r>
      <w:r>
        <w:t xml:space="preserve"> </w:t>
      </w:r>
      <w:r>
        <w:t xml:space="preserve">Foreign state wrecks are protected by sovereign immunity under the FSIA and by the</w:t>
      </w:r>
      <w:r>
        <w:t xml:space="preserve"> </w:t>
      </w:r>
      <w:r>
        <w:t xml:space="preserve">express-abandonment rule (</w:t>
      </w:r>
      <w:r>
        <w:rPr>
          <w:iCs/>
          <w:i/>
        </w:rPr>
        <w:t xml:space="preserve">Sea Hunt</w:t>
      </w:r>
      <w:r>
        <w:t xml:space="preserve">, involving Spanish frigates;</w:t>
      </w:r>
      <w:r>
        <w:t xml:space="preserve"> </w:t>
      </w:r>
      <w:r>
        <w:rPr>
          <w:iCs/>
          <w:i/>
        </w:rPr>
        <w:t xml:space="preserve">Odyssey</w:t>
      </w:r>
      <w:r>
        <w:t xml:space="preserve">, involving the Spanish frigate</w:t>
      </w:r>
      <w:r>
        <w:t xml:space="preserve"> </w:t>
      </w:r>
      <w:r>
        <w:rPr>
          <w:iCs/>
          <w:i/>
        </w:rPr>
        <w:t xml:space="preserve">Mercedes</w:t>
      </w:r>
      <w:r>
        <w:t xml:space="preserve">;</w:t>
      </w:r>
      <w:r>
        <w:t xml:space="preserve"> </w:t>
      </w:r>
      <w:r>
        <w:rPr>
          <w:iCs/>
          <w:i/>
        </w:rPr>
        <w:t xml:space="preserve">Global Marine</w:t>
      </w:r>
      <w:r>
        <w:t xml:space="preserve">, involving French vessels).</w:t>
      </w:r>
    </w:p>
    <w:p>
      <w:pPr>
        <w:pStyle w:val="Compact"/>
        <w:numPr>
          <w:ilvl w:val="0"/>
          <w:numId w:val="1004"/>
        </w:numPr>
      </w:pPr>
      <w:r>
        <w:rPr>
          <w:bCs/>
          <w:b/>
        </w:rPr>
        <w:t xml:space="preserve">Non-human craft.</w:t>
      </w:r>
      <w:r>
        <w:t xml:space="preserve"> </w:t>
      </w:r>
      <w:r>
        <w:t xml:space="preserve">No current law treats a non-human civilization as a sovereign for these purposes (</w:t>
      </w:r>
      <w:hyperlink r:id="rId29">
        <w:r>
          <w:rPr>
            <w:rStyle w:val="Hyperlink"/>
          </w:rPr>
          <w:t xml:space="preserve">Issue F1</w:t>
        </w:r>
      </w:hyperlink>
      <w:r>
        <w:t xml:space="preserve">,</w:t>
      </w:r>
      <w:r>
        <w:t xml:space="preserve"> </w:t>
      </w:r>
      <w:r>
        <w:t xml:space="preserve">F5). If the government recovered a craft, it would likely assert possession and ownership by occupation or</w:t>
      </w:r>
      <w:r>
        <w:t xml:space="preserve"> </w:t>
      </w:r>
      <w:r>
        <w:t xml:space="preserve">capture; if a private party found it first on private land, the landowner would have the stronger claim absent</w:t>
      </w:r>
      <w:r>
        <w:t xml:space="preserve"> </w:t>
      </w:r>
      <w:r>
        <w:t xml:space="preserve">a statute, subject to condemnation.</w:t>
      </w:r>
    </w:p>
    <w:bookmarkEnd w:id="30"/>
    <w:bookmarkStart w:id="32" w:name="other-legal-constraints-on-holders"/>
    <w:p>
      <w:pPr>
        <w:pStyle w:val="Heading2"/>
      </w:pPr>
      <w:r>
        <w:t xml:space="preserve">5. Other legal constraints on holders</w:t>
      </w:r>
    </w:p>
    <w:p>
      <w:pPr>
        <w:pStyle w:val="Compact"/>
        <w:numPr>
          <w:ilvl w:val="0"/>
          <w:numId w:val="1005"/>
        </w:numPr>
      </w:pPr>
      <w:r>
        <w:rPr>
          <w:bCs/>
          <w:b/>
        </w:rPr>
        <w:t xml:space="preserve">Export controls</w:t>
      </w:r>
      <w:r>
        <w:t xml:space="preserve">: transferring material or technical data abroad may require licenses if it is a defense</w:t>
      </w:r>
      <w:r>
        <w:t xml:space="preserve"> </w:t>
      </w:r>
      <w:r>
        <w:t xml:space="preserve">article or controlled item (</w:t>
      </w:r>
      <w:hyperlink r:id="rId31">
        <w:r>
          <w:rPr>
            <w:rStyle w:val="Hyperlink"/>
          </w:rPr>
          <w:t xml:space="preserve">Issue A5</w:t>
        </w:r>
      </w:hyperlink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Cs/>
          <w:b/>
        </w:rPr>
        <w:t xml:space="preserve">Classification</w:t>
      </w:r>
      <w:r>
        <w:t xml:space="preserve">: privately found material is not classified, but information the government provides about</w:t>
      </w:r>
      <w:r>
        <w:t xml:space="preserve"> </w:t>
      </w:r>
      <w:r>
        <w:t xml:space="preserve">it may be.</w:t>
      </w:r>
    </w:p>
    <w:p>
      <w:pPr>
        <w:pStyle w:val="Compact"/>
        <w:numPr>
          <w:ilvl w:val="0"/>
          <w:numId w:val="1005"/>
        </w:numPr>
      </w:pPr>
      <w:r>
        <w:rPr>
          <w:bCs/>
          <w:b/>
        </w:rPr>
        <w:t xml:space="preserve">Hazardous materials</w:t>
      </w:r>
      <w:r>
        <w:t xml:space="preserve">: radioactive or hazardous material is subject to NRC, DOE, EPA, and DOT rules.</w:t>
      </w:r>
    </w:p>
    <w:p>
      <w:pPr>
        <w:pStyle w:val="Compact"/>
        <w:numPr>
          <w:ilvl w:val="0"/>
          <w:numId w:val="1005"/>
        </w:numPr>
      </w:pPr>
      <w:r>
        <w:rPr>
          <w:bCs/>
          <w:b/>
        </w:rPr>
        <w:t xml:space="preserve">Reporting</w:t>
      </w:r>
      <w:r>
        <w:t xml:space="preserve">: no general federal duty to report found UAP material exists; AARO accepts public reports.</w:t>
      </w:r>
    </w:p>
    <w:bookmarkEnd w:id="32"/>
    <w:bookmarkStart w:id="34" w:name="practice-points"/>
    <w:p>
      <w:pPr>
        <w:pStyle w:val="Heading2"/>
      </w:pPr>
      <w:r>
        <w:t xml:space="preserve">6. Practice points</w:t>
      </w:r>
    </w:p>
    <w:p>
      <w:pPr>
        <w:pStyle w:val="Compact"/>
        <w:numPr>
          <w:ilvl w:val="0"/>
          <w:numId w:val="1006"/>
        </w:numPr>
      </w:pPr>
      <w:r>
        <w:t xml:space="preserve">Document the find: date, location (GPS), photographs in situ, witnesses, landowner identity and permission.</w:t>
      </w:r>
    </w:p>
    <w:p>
      <w:pPr>
        <w:pStyle w:val="Compact"/>
        <w:numPr>
          <w:ilvl w:val="0"/>
          <w:numId w:val="1006"/>
        </w:numPr>
      </w:pPr>
      <w:r>
        <w:t xml:space="preserve">Determine land status (private, state, tribal, federal); obtain landowner’s written assignment if the finder is</w:t>
      </w:r>
      <w:r>
        <w:t xml:space="preserve"> </w:t>
      </w:r>
      <w:r>
        <w:t xml:space="preserve">not the landowner.</w:t>
      </w:r>
    </w:p>
    <w:p>
      <w:pPr>
        <w:pStyle w:val="Compact"/>
        <w:numPr>
          <w:ilvl w:val="0"/>
          <w:numId w:val="1006"/>
        </w:numPr>
      </w:pPr>
      <w:r>
        <w:t xml:space="preserve">Do not disturb material on federal land without authorization.</w:t>
      </w:r>
    </w:p>
    <w:p>
      <w:pPr>
        <w:pStyle w:val="Compact"/>
        <w:numPr>
          <w:ilvl w:val="0"/>
          <w:numId w:val="1006"/>
        </w:numPr>
      </w:pPr>
      <w:r>
        <w:t xml:space="preserve">Preserve chain of custody; avoid destructive testing until ownership and analysis plans are settled.</w:t>
      </w:r>
    </w:p>
    <w:p>
      <w:pPr>
        <w:pStyle w:val="Compact"/>
        <w:numPr>
          <w:ilvl w:val="0"/>
          <w:numId w:val="1006"/>
        </w:numPr>
      </w:pPr>
      <w:r>
        <w:t xml:space="preserve">Expect a government request; respond under</w:t>
      </w:r>
      <w:r>
        <w:t xml:space="preserve"> </w:t>
      </w:r>
      <w:hyperlink r:id="rId33">
        <w:r>
          <w:rPr>
            <w:rStyle w:val="Hyperlink"/>
          </w:rPr>
          <w:t xml:space="preserve">Form E1-1</w:t>
        </w:r>
      </w:hyperlink>
      <w:r>
        <w:t xml:space="preserve">.</w:t>
      </w:r>
    </w:p>
    <w:bookmarkEnd w:id="34"/>
    <w:sectPr>
      <w:headerReference w:type="default" r:id="rId9"/>
      <w:footerReference w:type="default" r:id="rId10"/>
      <w:pgSz w:h="15840" w:w="12240"/>
      <w:pgMar w:bottom="1440" w:left="1440" w:right="1440" w:top="1440" w:header="720" w:footer="576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4" w:color="9AA5AE"/>
      </w:pBdr>
      <w:tabs>
        <w:tab w:pos="9360" w:val="right"/>
      </w:tabs>
    </w:pPr>
    <w:r>
      <w:rPr>
        <w:rFonts w:ascii="Cambria" w:hAnsi="Cambria" w:cs="Cambria" w:eastAsia="Cambria"/>
        <w:color w:val="55606B"/>
        <w:sz w:val="17"/>
      </w:rPr>
      <w:t>Who Owns a Found Piece of a Craft? Finders Law, Meteorite Precedent, Federal ...</w:t>
    </w:r>
    <w:r>
      <w:rPr>
        <w:rFonts w:ascii="Cambria" w:hAnsi="Cambria" w:cs="Cambria" w:eastAsia="Cambria"/>
        <w:color w:val="55606B"/>
        <w:sz w:val="17"/>
      </w:rPr>
      <w:tab/>
      <w:t xml:space="preserve">Page </w:t>
    </w:r>
    <w:r>
      <w:rPr>
        <w:rFonts w:ascii="Cambria" w:hAnsi="Cambria" w:cs="Cambria" w:eastAsia="Cambria"/>
        <w:sz w:val="17"/>
      </w:rPr>
      <w:fldChar w:fldCharType="begin"/>
    </w:r>
    <w:r>
      <w:rPr>
        <w:rFonts w:ascii="Cambria" w:hAnsi="Cambria" w:cs="Cambria" w:eastAsia="Cambria"/>
        <w:sz w:val="17"/>
      </w:rPr>
      <w:instrText xml:space="preserve"> PAGE </w:instrText>
    </w:r>
    <w:r>
      <w:rPr>
        <w:rFonts w:ascii="Cambria" w:hAnsi="Cambria" w:cs="Cambria" w:eastAsia="Cambria"/>
        <w:sz w:val="17"/>
      </w:rPr>
      <w:fldChar w:fldCharType="separate"/>
    </w:r>
    <w:r>
      <w:rPr>
        <w:rFonts w:ascii="Cambria" w:hAnsi="Cambria" w:cs="Cambria" w:eastAsia="Cambria"/>
        <w:sz w:val="17"/>
      </w:rPr>
      <w:t>1</w:t>
    </w:r>
    <w:r>
      <w:rPr>
        <w:rFonts w:ascii="Cambria" w:hAnsi="Cambria" w:cs="Cambria" w:eastAsia="Cambria"/>
        <w:sz w:val="17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styleId="BodyText" w:type="paragraph">
    <w:name w:val="Body Text"/>
    <w:basedOn w:val="Normal"/>
    <w:link w:val="BodyTextChar"/>
    <w:pPr>
      <w:spacing w:after="160" w:before="0" w:line="259" w:lineRule="auto"/>
    </w:pPr>
    <w:qFormat/>
    <w:rPr>
      <w:rFonts w:ascii="Cambria" w:cs="Cambria" w:eastAsia="Cambria" w:hAnsi="Cambria"/>
      <w:color w:val="000000"/>
      <w:sz w:val="23"/>
    </w:rPr>
  </w:style>
  <w:style w:customStyle="1" w:styleId="FirstParagraph" w:type="paragraph">
    <w:name w:val="First Paragraph"/>
    <w:basedOn w:val="BodyText"/>
    <w:next w:val="BodyText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customStyle="1" w:styleId="Compact" w:type="paragraph">
    <w:name w:val="Compact"/>
    <w:basedOn w:val="BodyText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styleId="Title" w:type="paragraph">
    <w:name w:val="Title"/>
    <w:basedOn w:val="Normal"/>
    <w:next w:val="BodyText"/>
    <w:qFormat/>
    <w:pPr>
      <w:keepNext/>
      <w:keepLines/>
      <w:spacing w:after="160" w:before="480"/>
      <w:jc w:val="left"/>
    </w:pPr>
    <w:rPr>
      <w:rFonts w:ascii="Cambria" w:cs="Cambria" w:eastAsia="Cambria" w:hAnsi="Cambria"/>
      <w:b/>
      <w:bCs/>
      <w:color w:val="1A2B3C"/>
      <w:sz w:val="40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160" w:before="240"/>
      <w:jc w:val="left"/>
    </w:pPr>
    <w:rPr>
      <w:rFonts w:ascii="Cambria" w:cs="Cambria" w:eastAsia="Cambria" w:hAnsi="Cambria"/>
      <w:color w:val="1A2B3C"/>
      <w:sz w:val="22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Cambria" w:cs="Cambria" w:eastAsia="Cambria" w:hAnsi="Cambria"/>
      <w:color w:val="000000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Cambria" w:cs="Cambria" w:eastAsia="Cambria" w:hAnsi="Cambria"/>
      <w:color w:val="000000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color w:val="000000"/>
      <w:sz w:val="20"/>
      <w:szCs w:val="20"/>
      <w:rFonts w:ascii="Cambria" w:cs="Cambria" w:eastAsia="Cambria" w:hAnsi="Cambria"/>
      <w:b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Cambria" w:cs="Cambria" w:eastAsia="Cambria" w:hAnsi="Cambria"/>
      <w:color w:val="000000"/>
      <w:sz w:val="20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Cambria" w:cs="Cambria" w:eastAsia="Cambria" w:hAnsi="Cambria"/>
      <w:color w:val="000000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20" w:before="280"/>
      <w:outlineLvl w:val="0"/>
    </w:pPr>
    <w:rPr>
      <w:rFonts w:ascii="Cambria" w:cs="Cambria" w:eastAsia="Cambria" w:hAnsi="Cambria"/>
      <w:b/>
      <w:bCs/>
      <w:i w:val="0"/>
      <w:color w:val="1A2B3C"/>
      <w:sz w:val="30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20" w:before="200"/>
      <w:outlineLvl w:val="1"/>
    </w:pPr>
    <w:rPr>
      <w:rFonts w:ascii="Cambria" w:cs="Cambria" w:eastAsia="Cambria" w:hAnsi="Cambria"/>
      <w:b/>
      <w:bCs/>
      <w:i w:val="0"/>
      <w:color w:val="1A2B3C"/>
      <w:sz w:val="25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120" w:before="200"/>
      <w:outlineLvl w:val="2"/>
    </w:pPr>
    <w:rPr>
      <w:rFonts w:ascii="Cambria" w:cs="Cambria" w:eastAsia="Cambria" w:hAnsi="Cambria"/>
      <w:b/>
      <w:bCs/>
      <w:i w:val="0"/>
      <w:color w:val="1A2B3C"/>
      <w:sz w:val="23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120" w:before="200"/>
      <w:outlineLvl w:val="3"/>
    </w:pPr>
    <w:rPr>
      <w:rFonts w:ascii="Cambria" w:cs="Cambria" w:eastAsia="Cambria" w:hAnsi="Cambria"/>
      <w:i w:val="0"/>
      <w:b/>
      <w:bCs/>
      <w:color w:val="1A2B3C"/>
      <w:sz w:val="23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Cambria" w:cs="Cambria" w:eastAsia="Cambria" w:hAnsi="Cambria"/>
      <w:iCs/>
      <w:color w:val="000000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Cambria" w:cs="Cambria" w:eastAsia="Cambria" w:hAnsi="Cambria"/>
      <w:color w:val="000000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Cambria" w:cs="Cambria" w:eastAsia="Cambria" w:hAnsi="Cambria"/>
      <w:color w:val="000000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Cambria" w:cs="Cambria" w:eastAsia="Cambria" w:hAnsi="Cambria"/>
      <w:color w:val="000000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Cambria" w:cs="Cambria" w:eastAsia="Cambria" w:hAnsi="Cambria"/>
      <w:color w:val="000000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60" w:before="0" w:line="259" w:lineRule="auto"/>
      <w:ind w:firstLine="0" w:left="720" w:right="720"/>
    </w:pPr>
    <w:rPr>
      <w:rFonts w:ascii="Cambria" w:cs="Cambria" w:eastAsia="Cambria" w:hAnsi="Cambria"/>
      <w:color w:val="000000"/>
      <w:sz w:val="23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Cambria" w:cs="Cambria" w:eastAsia="Cambria" w:hAnsi="Cambria"/>
      <w:color w:val="000000"/>
    </w:rPr>
  </w:style>
  <w:style w:default="1" w:styleId="DefaultParagraphFont" w:type="character">
    <w:name w:val="Default Paragraph Font"/>
    <w:semiHidden/>
    <w:unhideWhenUsed/>
    <w:rPr>
      <w:rFonts w:ascii="Cambria" w:cs="Cambria" w:eastAsia="Cambria" w:hAnsi="Cambria"/>
      <w:color w:val="000000"/>
    </w:rPr>
  </w:style>
  <w:style w:default="1" w:styleId="Table" w:type="table">
    <w:name w:val="Table"/>
    <w:basedOn w:val="TableNormal"/>
    <w:semiHidden/>
    <w:unhideWhenUsed/>
    <w:qFormat/>
    <w:tblPr>
      <w:tblInd w:type="dxa" w:w="0"/>
      <w:tblBorders>
        <w:top w:color="1A2B3C" w:space="0" w:sz="8" w:val="single"/>
        <w:bottom w:color="1A2B3C" w:space="0" w:sz="8" w:val="single"/>
        <w:insideH w:color="9AA5AE" w:space="0" w:sz="4" w:val="single"/>
      </w:tblBorders>
      <w:tblCellMar>
        <w:top w:type="dxa" w:w="0"/>
        <w:left w:type="dxa" w:w="108"/>
        <w:bottom w:type="dxa" w:w="0"/>
        <w:right w:type="dxa" w:w="108"/>
      </w:tblCellMar>
      <w:tblCellMar>
        <w:top w:type="dxa" w:w="50"/>
        <w:bottom w:type="dxa" w:w="50"/>
        <w:left w:type="dxa" w:w="80"/>
        <w:right w:type="dxa" w:w="80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Cambria" w:cs="Cambria" w:eastAsia="Cambria" w:hAnsi="Cambria"/>
      <w:b/>
      <w:color w:val="000000"/>
    </w:rPr>
  </w:style>
  <w:style w:customStyle="1" w:styleId="Definition" w:type="paragraph">
    <w:name w:val="Definition"/>
    <w:basedOn w:val="Normal"/>
    <w:rPr>
      <w:rFonts w:ascii="Cambria" w:cs="Cambria" w:eastAsia="Cambria" w:hAnsi="Cambria"/>
      <w:color w:val="000000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Cambria" w:cs="Cambria" w:eastAsia="Cambria" w:hAnsi="Cambria"/>
      <w:i/>
      <w:color w:val="000000"/>
    </w:rPr>
  </w:style>
  <w:style w:customStyle="1" w:styleId="TableCaption" w:type="paragraph">
    <w:name w:val="Table Caption"/>
    <w:basedOn w:val="Caption"/>
    <w:pPr>
      <w:keepNext/>
    </w:pPr>
    <w:rPr>
      <w:rFonts w:ascii="Cambria" w:cs="Cambria" w:eastAsia="Cambria" w:hAnsi="Cambria"/>
      <w:color w:val="000000"/>
    </w:rPr>
  </w:style>
  <w:style w:customStyle="1" w:styleId="ImageCaption" w:type="paragraph">
    <w:name w:val="Image Caption"/>
    <w:basedOn w:val="Caption"/>
    <w:rPr>
      <w:rFonts w:ascii="Cambria" w:cs="Cambria" w:eastAsia="Cambria" w:hAnsi="Cambria"/>
      <w:color w:val="000000"/>
    </w:rPr>
  </w:style>
  <w:style w:customStyle="1" w:styleId="Figure" w:type="paragraph">
    <w:name w:val="Figure"/>
    <w:basedOn w:val="Normal"/>
    <w:rPr>
      <w:rFonts w:ascii="Cambria" w:cs="Cambria" w:eastAsia="Cambria" w:hAnsi="Cambria"/>
      <w:color w:val="000000"/>
    </w:rPr>
  </w:style>
  <w:style w:customStyle="1" w:styleId="CaptionedFigure" w:type="paragraph">
    <w:name w:val="Captioned Figure"/>
    <w:basedOn w:val="Figure"/>
    <w:pPr>
      <w:keepNext/>
    </w:pPr>
    <w:rPr>
      <w:rFonts w:ascii="Cambria" w:cs="Cambria" w:eastAsia="Cambria" w:hAnsi="Cambria"/>
      <w:color w:val="000000"/>
    </w:rPr>
  </w:style>
  <w:style w:customStyle="1" w:styleId="BodyTextChar" w:type="character">
    <w:name w:val="Body Text Char"/>
    <w:basedOn w:val="DefaultParagraphFont"/>
    <w:link w:val="BodyText"/>
    <w:rPr>
      <w:rFonts w:ascii="Cambria" w:cs="Cambria" w:eastAsia="Cambria" w:hAnsi="Cambria"/>
      <w:color w:val="000000"/>
    </w:rPr>
  </w:style>
  <w:style w:customStyle="1" w:styleId="VerbatimChar" w:type="character">
    <w:name w:val="Verbatim Char"/>
    <w:basedOn w:val="BodyTextChar"/>
    <w:rPr>
      <w:rFonts w:ascii="Cambria" w:cs="Cambria" w:eastAsia="Cambria" w:hAnsi="Cambria"/>
      <w:color w:val="000000"/>
      <w:sz w:val="22"/>
    </w:rPr>
  </w:style>
  <w:style w:customStyle="1" w:styleId="SectionNumber" w:type="character">
    <w:name w:val="Section Number"/>
    <w:basedOn w:val="BodyTextChar"/>
    <w:rPr>
      <w:rFonts w:ascii="Cambria" w:cs="Cambria" w:eastAsia="Cambria" w:hAnsi="Cambria"/>
      <w:color w:val="000000"/>
    </w:rPr>
  </w:style>
  <w:style w:styleId="FootnoteReference" w:type="character">
    <w:name w:val="Footnote Reference"/>
    <w:basedOn w:val="BodyTextChar"/>
    <w:rPr>
      <w:rFonts w:ascii="Cambria" w:cs="Cambria" w:eastAsia="Cambria" w:hAnsi="Cambria"/>
      <w:color w:val="000000"/>
      <w:vertAlign w:val="superscript"/>
    </w:rPr>
  </w:style>
  <w:style w:styleId="Hyperlink" w:type="character">
    <w:name w:val="Hyperlink"/>
    <w:basedOn w:val="BodyTextChar"/>
    <w:rPr>
      <w:rFonts w:ascii="Cambria" w:cs="Cambria" w:eastAsia="Cambria" w:hAnsi="Cambria"/>
      <w:color w:val="1F6E6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Cambria" w:cs="Cambria" w:eastAsia="Cambria" w:hAnsi="Cambria"/>
      <w:b w:val="0"/>
      <w:bCs w:val="0"/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0" Type="http://schemas.openxmlformats.org/officeDocument/2006/relationships/hyperlink" Target="https://emergentfrontiers.com" TargetMode="External"/><Relationship Id="rId33" Type="http://schemas.openxmlformats.org/officeDocument/2006/relationships/hyperlink" Target="https://nhilaw.com/forms/e1-1.html" TargetMode="External"/><Relationship Id="rId21" Type="http://schemas.openxmlformats.org/officeDocument/2006/relationships/hyperlink" Target="https://nhilaw.com/forms/e3-1.html" TargetMode="External"/><Relationship Id="rId31" Type="http://schemas.openxmlformats.org/officeDocument/2006/relationships/hyperlink" Target="https://nhilaw.com/issues/a5.html" TargetMode="External"/><Relationship Id="rId23" Type="http://schemas.openxmlformats.org/officeDocument/2006/relationships/hyperlink" Target="https://nhilaw.com/issues/e1.html" TargetMode="External"/><Relationship Id="rId29" Type="http://schemas.openxmlformats.org/officeDocument/2006/relationships/hyperlink" Target="https://nhilaw.com/issues/f1.html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0" Type="http://schemas.openxmlformats.org/officeDocument/2006/relationships/hyperlink" Target="https://emergentfrontiers.com" TargetMode="External"/><Relationship Id="rId33" Type="http://schemas.openxmlformats.org/officeDocument/2006/relationships/hyperlink" Target="https://nhilaw.com/forms/e1-1.html" TargetMode="External"/><Relationship Id="rId21" Type="http://schemas.openxmlformats.org/officeDocument/2006/relationships/hyperlink" Target="https://nhilaw.com/forms/e3-1.html" TargetMode="External"/><Relationship Id="rId31" Type="http://schemas.openxmlformats.org/officeDocument/2006/relationships/hyperlink" Target="https://nhilaw.com/issues/a5.html" TargetMode="External"/><Relationship Id="rId23" Type="http://schemas.openxmlformats.org/officeDocument/2006/relationships/hyperlink" Target="https://nhilaw.com/issues/e1.html" TargetMode="External"/><Relationship Id="rId29" Type="http://schemas.openxmlformats.org/officeDocument/2006/relationships/hyperlink" Target="https://nhilaw.com/issues/f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Who Owns a Found Piece of a Craft? Finders Law, Meteorite Precedent, Federal Land, and Sovereign Claims</dc:title>
  <dc:creator>nhilaw.com</dc:creator>
  <cp:keywords/>
  <dcterms:created xsi:type="dcterms:W3CDTF">2026-10-19T03:14:09Z</dcterms:created>
  <dcterms:modified xsi:type="dcterms:W3CDTF">2026-10-19T03:14:09Z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Version 1.10 · October 2026 · nhilaw.com/issues/e3.html</vt:lpwstr>
  </property>
</Properties>
</file>