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pPr>
      <w:r>
        <w:rPr>
          <w:smallCaps/>
          <w:color w:val="1F6E6E"/>
          <w:sz w:val="18"/>
        </w:rPr>
        <w:t xml:space="preserve">nhilaw.com sample document</w:t>
      </w:r>
    </w:p>
    <w:bookmarkStart w:id="24" w:name="Xda93e288b123916e2d6bb9fd2519a83253f2973"/>
    <w:p>
      <w:pPr>
        <w:pStyle w:val="Heading1"/>
      </w:pPr>
      <w:r>
        <w:t xml:space="preserve">Form E4-1. Insider Trading Policy Supplement for Personnel with Knowledge of UAP-Related Programs or a Pending Disclosure</w:t>
      </w:r>
    </w:p>
    <w:p>
      <w:pPr>
        <w:pStyle w:val="FirstParagraph"/>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https://nhilaw.com/forms/e4-1.html</w:t>
      </w:r>
    </w:p>
    <w:p>
      <w:pPr>
        <w:pStyle w:val="BodyText"/>
        <w:spacing w:after="160" w:line="259" w:lineRule="auto"/>
      </w:pPr>
      <w:r>
        <w:rPr>
          <w:bCs/>
          <w:b/>
        </w:rPr>
        <w:t xml:space="preserve">Use.</w:t>
      </w:r>
      <w:r>
        <w:t xml:space="preserve"> </w:t>
      </w:r>
      <w:r>
        <w:t xml:space="preserve">Most public contractors already have an insider trading policy. This supplement designates</w:t>
      </w:r>
      <w:r>
        <w:t xml:space="preserve"> </w:t>
      </w:r>
      <w:r>
        <w:t xml:space="preserve">information about UAP-related programs, and about any expected government announcement concerning UAP,</w:t>
      </w:r>
      <w:r>
        <w:t xml:space="preserve"> </w:t>
      </w:r>
      <w:r>
        <w:t xml:space="preserve">as material nonpublic information for purposes of that policy; places persons with that knowledge on a</w:t>
      </w:r>
      <w:r>
        <w:t xml:space="preserve"> </w:t>
      </w:r>
      <w:r>
        <w:t xml:space="preserve">restricted list; and requires pre-clearance by counsel who can evaluate the matter without receiving</w:t>
      </w:r>
      <w:r>
        <w:t xml:space="preserve"> </w:t>
      </w:r>
      <w:r>
        <w:t xml:space="preserve">classified details. The supplement is drafted so that adopting it does not itself reveal whether the</w:t>
      </w:r>
      <w:r>
        <w:t xml:space="preserve"> </w:t>
      </w:r>
      <w:r>
        <w:t xml:space="preserve">company has any such program.</w:t>
      </w:r>
    </w:p>
    <w:p>
      <w:pPr>
        <w:pStyle w:val="BodyText"/>
        <w:spacing w:after="160" w:line="259" w:lineRule="auto"/>
      </w:pPr>
      <w:r>
        <w:rPr>
          <w:bCs/>
          <w:b/>
        </w:rPr>
        <w:t xml:space="preserve">When to use.</w:t>
      </w:r>
      <w:r>
        <w:t xml:space="preserve"> </w:t>
      </w:r>
      <w:r>
        <w:t xml:space="preserve">A public company or contractor whose people may learn of classified UAP developments that could move markets.</w:t>
      </w:r>
      <w:r>
        <w:t xml:space="preserve"> </w:t>
      </w:r>
      <w:r>
        <w:rPr>
          <w:bCs/>
          <w:b/>
        </w:rPr>
        <w:t xml:space="preserve">Not for:</w:t>
      </w:r>
      <w:r>
        <w:t xml:space="preserve"> </w:t>
      </w:r>
      <w:r>
        <w:t xml:space="preserve">Companies with no classified or sensitive work.</w:t>
      </w:r>
    </w:p>
    <w:p>
      <w:pPr>
        <w:pStyle w:val="BodyText"/>
        <w:spacing w:after="160" w:line="259" w:lineRule="auto"/>
      </w:pPr>
      <w:r>
        <w:rPr>
          <w:bCs/>
          <w:b/>
        </w:rPr>
        <w:t xml:space="preserve">Deadlines.</w:t>
      </w:r>
      <w:r>
        <w:t xml:space="preserve"> </w:t>
      </w:r>
      <w:r>
        <w:t xml:space="preserve">Adopt before any expected disclosure event; brief covered persons at once.</w:t>
      </w:r>
    </w:p>
    <w:p>
      <w:pPr>
        <w:pStyle w:val="BodyText"/>
        <w:spacing w:lineRule="exact" w:line="40" w:before="0" w:after="0"/>
        <w:sectPr>
          <w:headerReference w:type="default" r:id="rId9"/>
          <w:footerReference w:type="default" r:id="rId10"/>
          <w:pgSz w:h="15840" w:w="12240"/>
          <w:pgMar w:bottom="1440" w:left="1440" w:right="1440" w:top="1440" w:header="720" w:footer="576"/>
        </w:sectPr>
      </w:pPr>
    </w:p>
    <w:p>
      <w:pPr>
        <w:pStyle w:val="BodyText"/>
      </w:pPr>
      <w:r>
        <w:rPr>
          <w:bCs/>
          <w:b/>
        </w:rPr>
        <w:t xml:space="preserve">[COMPANY] SUPPLEMENT TO INSIDER TRADING POLICY: SENSITIVE PROGRAM INFORMATION</w:t>
      </w:r>
    </w:p>
    <w:p>
      <w:pPr>
        <w:pStyle w:val="BodyText"/>
      </w:pPr>
      <w:r>
        <w:rPr>
          <w:bCs/>
          <w:b/>
        </w:rPr>
        <w:t xml:space="preserve">1. Purpose.</w:t>
      </w:r>
      <w:r>
        <w:t xml:space="preserve"> </w:t>
      </w:r>
      <w:r>
        <w:t xml:space="preserve">This Supplement applies the Company’s Insider Trading Policy (the</w:t>
      </w:r>
      <w:r>
        <w:t xml:space="preserve"> </w:t>
      </w:r>
      <w:r>
        <w:t xml:space="preserve">“</w:t>
      </w:r>
      <w:r>
        <w:t xml:space="preserve">Policy</w:t>
      </w:r>
      <w:r>
        <w:t xml:space="preserve">”</w:t>
      </w:r>
      <w:r>
        <w:t xml:space="preserve">) to</w:t>
      </w:r>
      <w:r>
        <w:t xml:space="preserve"> </w:t>
      </w:r>
      <w:r>
        <w:t xml:space="preserve">information about certain sensitive government programs and about anticipated government announcements.</w:t>
      </w:r>
      <w:r>
        <w:t xml:space="preserve"> </w:t>
      </w:r>
      <w:r>
        <w:t xml:space="preserve">It is adopted as a precaution and does not state or imply that the Company participates in any</w:t>
      </w:r>
      <w:r>
        <w:t xml:space="preserve"> </w:t>
      </w:r>
      <w:r>
        <w:t xml:space="preserve">particular program.</w:t>
      </w:r>
    </w:p>
    <w:p>
      <w:pPr>
        <w:pStyle w:val="BodyText"/>
      </w:pPr>
      <w:r>
        <w:rPr>
          <w:bCs/>
          <w:b/>
        </w:rPr>
        <w:t xml:space="preserve">2. Covered Information.</w:t>
      </w:r>
      <w:r>
        <w:t xml:space="preserve"> </w:t>
      </w:r>
      <w:r>
        <w:t xml:space="preserve">“</w:t>
      </w:r>
      <w:r>
        <w:t xml:space="preserve">Covered Information</w:t>
      </w:r>
      <w:r>
        <w:t xml:space="preserve">”</w:t>
      </w:r>
      <w:r>
        <w:t xml:space="preserve"> </w:t>
      </w:r>
      <w:r>
        <w:t xml:space="preserve">means any nonpublic information, whether or not</w:t>
      </w:r>
      <w:r>
        <w:t xml:space="preserve"> </w:t>
      </w:r>
      <w:r>
        <w:t xml:space="preserve">classified, concerning:</w:t>
      </w:r>
    </w:p>
    <w:p>
      <w:pPr>
        <w:pStyle w:val="BodyText"/>
      </w:pPr>
      <w:r>
        <w:t xml:space="preserve">(a) any program, contract, subcontract, task order, cooperative agreement, or independent research and</w:t>
      </w:r>
      <w:r>
        <w:t xml:space="preserve"> </w:t>
      </w:r>
      <w:r>
        <w:t xml:space="preserve">development project relating to unidentified anomalous phenomena, as that term is defined in 50 U.S.C.</w:t>
      </w:r>
      <w:r>
        <w:t xml:space="preserve"> </w:t>
      </w:r>
      <w:r>
        <w:t xml:space="preserve">§3373(n)(8), or to the retrieval, analysis, exploitation, or reverse engineering of material or</w:t>
      </w:r>
      <w:r>
        <w:t xml:space="preserve"> </w:t>
      </w:r>
      <w:r>
        <w:t xml:space="preserve">technology of unknown origin;</w:t>
      </w:r>
    </w:p>
    <w:p>
      <w:pPr>
        <w:pStyle w:val="BodyText"/>
      </w:pPr>
      <w:r>
        <w:t xml:space="preserve">(b) any anticipated or pending statement, report, declassification, release of records, legislation,</w:t>
      </w:r>
      <w:r>
        <w:t xml:space="preserve"> </w:t>
      </w:r>
      <w:r>
        <w:t xml:space="preserve">hearing, or other action by the United States government or a foreign government concerning the matters</w:t>
      </w:r>
      <w:r>
        <w:t xml:space="preserve"> </w:t>
      </w:r>
      <w:r>
        <w:t xml:space="preserve">in paragraph (a), including its timing; and</w:t>
      </w:r>
    </w:p>
    <w:p>
      <w:pPr>
        <w:pStyle w:val="BodyText"/>
      </w:pPr>
      <w:r>
        <w:t xml:space="preserve">(c) any request, demand, subpoena, or claim by a government body directed to the Company concerning the</w:t>
      </w:r>
      <w:r>
        <w:t xml:space="preserve"> </w:t>
      </w:r>
      <w:r>
        <w:t xml:space="preserve">matters in paragraph (a), including any request for transfer, inspection, or condemnation of property.</w:t>
      </w:r>
    </w:p>
    <w:p>
      <w:pPr>
        <w:pStyle w:val="BodyText"/>
      </w:pPr>
      <w:r>
        <w:rPr>
          <w:bCs/>
          <w:b/>
        </w:rPr>
        <w:t xml:space="preserve">3. Materiality.</w:t>
      </w:r>
      <w:r>
        <w:t xml:space="preserve"> </w:t>
      </w:r>
      <w:r>
        <w:t xml:space="preserve">For purposes of the Policy, Covered Information is presumed to be material</w:t>
      </w:r>
      <w:r>
        <w:t xml:space="preserve"> </w:t>
      </w:r>
      <w:r>
        <w:t xml:space="preserve">nonpublic information about the Company and, where the Covered Person knows the information concerns</w:t>
      </w:r>
      <w:r>
        <w:t xml:space="preserve"> </w:t>
      </w:r>
      <w:r>
        <w:t xml:space="preserve">another issuer (including a customer, supplier, competitor, or joint venture partner), about that</w:t>
      </w:r>
      <w:r>
        <w:t xml:space="preserve"> </w:t>
      </w:r>
      <w:r>
        <w:t xml:space="preserve">issuer. A Covered Person may not rely on his or her own view that the information is immaterial.</w:t>
      </w:r>
    </w:p>
    <w:p>
      <w:pPr>
        <w:pStyle w:val="BodyText"/>
      </w:pPr>
      <w:r>
        <w:rPr>
          <w:bCs/>
          <w:b/>
        </w:rPr>
        <w:t xml:space="preserve">4. Covered Persons.</w:t>
      </w:r>
      <w:r>
        <w:t xml:space="preserve"> </w:t>
      </w:r>
      <w:r>
        <w:t xml:space="preserve">The General Counsel, in consultation with the Facility Security Officer, will</w:t>
      </w:r>
      <w:r>
        <w:t xml:space="preserve"> </w:t>
      </w:r>
      <w:r>
        <w:t xml:space="preserve">maintain a confidential list of</w:t>
      </w:r>
      <w:r>
        <w:t xml:space="preserve"> </w:t>
      </w:r>
      <w:r>
        <w:t xml:space="preserve">“</w:t>
      </w:r>
      <w:r>
        <w:t xml:space="preserve">Covered Persons,</w:t>
      </w:r>
      <w:r>
        <w:t xml:space="preserve">”</w:t>
      </w:r>
      <w:r>
        <w:t xml:space="preserve"> </w:t>
      </w:r>
      <w:r>
        <w:t xml:space="preserve">consisting of:</w:t>
      </w:r>
    </w:p>
    <w:p>
      <w:pPr>
        <w:pStyle w:val="BodyText"/>
      </w:pPr>
      <w:r>
        <w:t xml:space="preserve">(a) each director, officer, employee, and consultant who holds or has held, within the preceding [24]</w:t>
      </w:r>
      <w:r>
        <w:t xml:space="preserve"> </w:t>
      </w:r>
      <w:r>
        <w:t xml:space="preserve">months, access to any compartment, program, or project described in Section 2(a);</w:t>
      </w:r>
    </w:p>
    <w:p>
      <w:pPr>
        <w:pStyle w:val="BodyText"/>
      </w:pPr>
      <w:r>
        <w:t xml:space="preserve">(b) each person who has received a briefing, inquiry, or document described in Section 2(b) or 2(c);</w:t>
      </w:r>
      <w:r>
        <w:t xml:space="preserve"> </w:t>
      </w:r>
      <w:r>
        <w:t xml:space="preserve">and</w:t>
      </w:r>
    </w:p>
    <w:p>
      <w:pPr>
        <w:pStyle w:val="BodyText"/>
      </w:pPr>
      <w:r>
        <w:t xml:space="preserve">(c) each person designated by the General Counsel.</w:t>
      </w:r>
    </w:p>
    <w:p>
      <w:pPr>
        <w:pStyle w:val="BodyText"/>
      </w:pPr>
      <w:r>
        <w:t xml:space="preserve">The list will identify persons by name and the date of designation only. It will not identify any</w:t>
      </w:r>
      <w:r>
        <w:t xml:space="preserve"> </w:t>
      </w:r>
      <w:r>
        <w:t xml:space="preserve">program, compartment, or classified fact. Persons on the list will be told that they are Covered</w:t>
      </w:r>
      <w:r>
        <w:t xml:space="preserve"> </w:t>
      </w:r>
      <w:r>
        <w:t xml:space="preserve">Persons and given a copy of this Supplement.</w:t>
      </w:r>
    </w:p>
    <w:p>
      <w:pPr>
        <w:pStyle w:val="BodyText"/>
      </w:pPr>
      <w:r>
        <w:rPr>
          <w:bCs/>
          <w:b/>
        </w:rPr>
        <w:t xml:space="preserve">5. Restrictions.</w:t>
      </w:r>
      <w:r>
        <w:t xml:space="preserve"> </w:t>
      </w:r>
      <w:r>
        <w:t xml:space="preserve">A Covered Person, and each member of his or her household and each entity he or</w:t>
      </w:r>
      <w:r>
        <w:t xml:space="preserve"> </w:t>
      </w:r>
      <w:r>
        <w:t xml:space="preserve">she controls, may not, without written pre-clearance under Section 6:</w:t>
      </w:r>
    </w:p>
    <w:p>
      <w:pPr>
        <w:pStyle w:val="BodyText"/>
      </w:pPr>
      <w:r>
        <w:t xml:space="preserve">(a) purchase, sell, or otherwise trade in securities of the Company or of any issuer listed on the</w:t>
      </w:r>
      <w:r>
        <w:t xml:space="preserve"> </w:t>
      </w:r>
      <w:r>
        <w:t xml:space="preserve">Company’s confidential restricted-issuer schedule;</w:t>
      </w:r>
    </w:p>
    <w:p>
      <w:pPr>
        <w:pStyle w:val="BodyText"/>
      </w:pPr>
      <w:r>
        <w:t xml:space="preserve">(b) trade in options, swaps, or other derivatives on those securities, or sell those securities short;</w:t>
      </w:r>
    </w:p>
    <w:p>
      <w:pPr>
        <w:pStyle w:val="BodyText"/>
      </w:pPr>
      <w:r>
        <w:t xml:space="preserve">(c) trade in any event contract, prediction market position, or similar instrument whose payoff depends</w:t>
      </w:r>
      <w:r>
        <w:t xml:space="preserve"> </w:t>
      </w:r>
      <w:r>
        <w:t xml:space="preserve">on the occurrence or timing of a government statement or action concerning unidentified anomalous</w:t>
      </w:r>
      <w:r>
        <w:t xml:space="preserve"> </w:t>
      </w:r>
      <w:r>
        <w:t xml:space="preserve">phenomena; or</w:t>
      </w:r>
    </w:p>
    <w:p>
      <w:pPr>
        <w:pStyle w:val="BodyText"/>
      </w:pPr>
      <w:r>
        <w:t xml:space="preserve">(d) recommend any of those transactions to another person, or disclose Covered Information to any</w:t>
      </w:r>
      <w:r>
        <w:t xml:space="preserve"> </w:t>
      </w:r>
      <w:r>
        <w:t xml:space="preserve">person who is not authorized to receive it.</w:t>
      </w:r>
    </w:p>
    <w:p>
      <w:pPr>
        <w:pStyle w:val="BodyText"/>
      </w:pPr>
      <w:r>
        <w:rPr>
          <w:bCs/>
          <w:b/>
        </w:rPr>
        <w:t xml:space="preserve">6. Pre-clearance.</w:t>
      </w:r>
      <w:r>
        <w:t xml:space="preserve"> </w:t>
      </w:r>
      <w:r>
        <w:t xml:space="preserve">(a) Requests for pre-clearance go to the General Counsel or a designated</w:t>
      </w:r>
      <w:r>
        <w:t xml:space="preserve"> </w:t>
      </w:r>
      <w:r>
        <w:t xml:space="preserve">attorney who holds the clearances needed to evaluate the request.</w:t>
      </w:r>
    </w:p>
    <w:p>
      <w:pPr>
        <w:pStyle w:val="BodyText"/>
      </w:pPr>
      <w:r>
        <w:t xml:space="preserve">(b) The requesting person must certify in writing that he or she is not aware of Covered Information</w:t>
      </w:r>
      <w:r>
        <w:t xml:space="preserve"> </w:t>
      </w:r>
      <w:r>
        <w:t xml:space="preserve">that has not been publicly disclosed, or must describe in unclassified terms the general category of</w:t>
      </w:r>
      <w:r>
        <w:t xml:space="preserve"> </w:t>
      </w:r>
      <w:r>
        <w:t xml:space="preserve">information known. Classified information must not be included in the request. If the reviewing</w:t>
      </w:r>
      <w:r>
        <w:t xml:space="preserve"> </w:t>
      </w:r>
      <w:r>
        <w:t xml:space="preserve">attorney needs classified context, the review will take place in an approved facility through the</w:t>
      </w:r>
      <w:r>
        <w:t xml:space="preserve"> </w:t>
      </w:r>
      <w:r>
        <w:t xml:space="preserve">Facility Security Officer.</w:t>
      </w:r>
    </w:p>
    <w:p>
      <w:pPr>
        <w:pStyle w:val="BodyText"/>
      </w:pPr>
      <w:r>
        <w:t xml:space="preserve">(c) Pre-clearance is valid for [two] trading days and may be revoked.</w:t>
      </w:r>
    </w:p>
    <w:p>
      <w:pPr>
        <w:pStyle w:val="BodyText"/>
      </w:pPr>
      <w:r>
        <w:t xml:space="preserve">(d) A denial need not state reasons.</w:t>
      </w:r>
    </w:p>
    <w:p>
      <w:pPr>
        <w:pStyle w:val="BodyText"/>
      </w:pPr>
      <w:r>
        <w:rPr>
          <w:bCs/>
          <w:b/>
        </w:rPr>
        <w:t xml:space="preserve">7. Blackout on notice of an announcement.</w:t>
      </w:r>
      <w:r>
        <w:t xml:space="preserve"> </w:t>
      </w:r>
      <w:r>
        <w:t xml:space="preserve">When the General Counsel learns that a government</w:t>
      </w:r>
      <w:r>
        <w:t xml:space="preserve"> </w:t>
      </w:r>
      <w:r>
        <w:t xml:space="preserve">statement or action described in Section 2(b) is expected, the General Counsel may impose a special</w:t>
      </w:r>
      <w:r>
        <w:t xml:space="preserve"> </w:t>
      </w:r>
      <w:r>
        <w:t xml:space="preserve">blackout on all Covered Persons, and on any other persons the General Counsel designates, until [two]</w:t>
      </w:r>
      <w:r>
        <w:t xml:space="preserve"> </w:t>
      </w:r>
      <w:r>
        <w:t xml:space="preserve">full trading days after the statement or action is made public or the General Counsel determines that</w:t>
      </w:r>
      <w:r>
        <w:t xml:space="preserve"> </w:t>
      </w:r>
      <w:r>
        <w:t xml:space="preserve">it will not occur.</w:t>
      </w:r>
    </w:p>
    <w:p>
      <w:pPr>
        <w:pStyle w:val="BodyText"/>
      </w:pPr>
      <w:r>
        <w:rPr>
          <w:bCs/>
          <w:b/>
        </w:rPr>
        <w:t xml:space="preserve">8. Rule 10b5-1 plans.</w:t>
      </w:r>
      <w:r>
        <w:t xml:space="preserve"> </w:t>
      </w:r>
      <w:r>
        <w:t xml:space="preserve">A Covered Person may not adopt or modify a trading plan under Rule 10b5-1</w:t>
      </w:r>
      <w:r>
        <w:t xml:space="preserve"> </w:t>
      </w:r>
      <w:r>
        <w:t xml:space="preserve">while aware of Covered Information. Existing plans are subject to the Policy’s ordinary terms, and the</w:t>
      </w:r>
      <w:r>
        <w:t xml:space="preserve"> </w:t>
      </w:r>
      <w:r>
        <w:t xml:space="preserve">General Counsel may require a Covered Person to terminate a plan if continuing it would create an</w:t>
      </w:r>
      <w:r>
        <w:t xml:space="preserve"> </w:t>
      </w:r>
      <w:r>
        <w:t xml:space="preserve">appearance of trading on Covered Information.</w:t>
      </w:r>
    </w:p>
    <w:p>
      <w:pPr>
        <w:pStyle w:val="BodyText"/>
      </w:pPr>
      <w:r>
        <w:rPr>
          <w:bCs/>
          <w:b/>
        </w:rPr>
        <w:t xml:space="preserve">9. Government personnel and dual roles.</w:t>
      </w:r>
      <w:r>
        <w:t xml:space="preserve"> </w:t>
      </w:r>
      <w:r>
        <w:t xml:space="preserve">Covered Persons who also serve in a government capacity</w:t>
      </w:r>
      <w:r>
        <w:t xml:space="preserve"> </w:t>
      </w:r>
      <w:r>
        <w:t xml:space="preserve">(including reserve military duty or service as a special government employee) remain subject to the</w:t>
      </w:r>
      <w:r>
        <w:t xml:space="preserve"> </w:t>
      </w:r>
      <w:r>
        <w:t xml:space="preserve">STOCK Act and to their agency’s ethics rules, which may impose additional restrictions.</w:t>
      </w:r>
    </w:p>
    <w:p>
      <w:pPr>
        <w:pStyle w:val="BodyText"/>
      </w:pPr>
      <w:r>
        <w:rPr>
          <w:bCs/>
          <w:b/>
        </w:rPr>
        <w:t xml:space="preserve">10. Reporting.</w:t>
      </w:r>
      <w:r>
        <w:t xml:space="preserve"> </w:t>
      </w:r>
      <w:r>
        <w:t xml:space="preserve">A Covered Person who believes that Covered Information has been disclosed without</w:t>
      </w:r>
      <w:r>
        <w:t xml:space="preserve"> </w:t>
      </w:r>
      <w:r>
        <w:t xml:space="preserve">authorization, or that a trade may have been made on the basis of Covered Information, must report the</w:t>
      </w:r>
      <w:r>
        <w:t xml:space="preserve"> </w:t>
      </w:r>
      <w:r>
        <w:t xml:space="preserve">matter promptly to the General Counsel. Reports concerning classified information must be made only</w:t>
      </w:r>
      <w:r>
        <w:t xml:space="preserve"> </w:t>
      </w:r>
      <w:r>
        <w:t xml:space="preserve">through security channels. Nothing in this Supplement prevents any person from reporting possible</w:t>
      </w:r>
      <w:r>
        <w:t xml:space="preserve"> </w:t>
      </w:r>
      <w:r>
        <w:t xml:space="preserve">violations of law to the Securities and Exchange Commission, the Commodity Futures Trading</w:t>
      </w:r>
      <w:r>
        <w:t xml:space="preserve"> </w:t>
      </w:r>
      <w:r>
        <w:t xml:space="preserve">Commission, an inspector general, Congress, or the All-domain Anomaly Resolution Office through an</w:t>
      </w:r>
      <w:r>
        <w:t xml:space="preserve"> </w:t>
      </w:r>
      <w:r>
        <w:t xml:space="preserve">authorized channel, or requires notice to the Company before doing so.</w:t>
      </w:r>
    </w:p>
    <w:p>
      <w:pPr>
        <w:pStyle w:val="BodyText"/>
      </w:pPr>
      <w:r>
        <w:rPr>
          <w:bCs/>
          <w:b/>
        </w:rPr>
        <w:t xml:space="preserve">11. Effect.</w:t>
      </w:r>
      <w:r>
        <w:t xml:space="preserve"> </w:t>
      </w:r>
      <w:r>
        <w:t xml:space="preserve">This Supplement adds to, and does not limit, the Policy. A violation is a violation of</w:t>
      </w:r>
      <w:r>
        <w:t xml:space="preserve"> </w:t>
      </w:r>
      <w:r>
        <w:t xml:space="preserve">the Policy.</w:t>
      </w:r>
    </w:p>
    <w:p>
      <w:pPr>
        <w:pStyle w:val="BodyText"/>
      </w:pPr>
      <w:r>
        <w:t xml:space="preserve">Adopted by [the Board of Directors / the General Counsel] on [date].</w:t>
      </w:r>
    </w:p>
    <w:p>
      <w:pPr>
        <w:pStyle w:val="BodyText"/>
        <w:spacing w:lineRule="exact" w:line="40" w:before="0" w:after="0"/>
        <w:sectPr>
          <w:headerReference w:type="default" r:id="rId11"/>
          <w:footerReference w:type="default" r:id="rId12"/>
          <w:footerReference w:type="first" r:id="rId13"/>
          <w:pgSz w:h="15840" w:w="12240"/>
          <w:pgMar w:bottom="1440" w:left="1440" w:right="1440" w:top="1440" w:header="720" w:footer="576"/>
          <w:pgNumType w:start="1"/>
          <w:titlePg/>
        </w:sectPr>
      </w:pPr>
    </w:p>
    <w:bookmarkStart w:id="23" w:name="drafting-notes"/>
    <w:p>
      <w:pPr>
        <w:pStyle w:val="Heading2"/>
      </w:pPr>
      <w:r>
        <w:t xml:space="preserve">Drafting notes</w:t>
      </w:r>
    </w:p>
    <w:p>
      <w:pPr>
        <w:pStyle w:val="Compact"/>
        <w:numPr>
          <w:ilvl w:val="0"/>
          <w:numId w:val="1001"/>
        </w:numPr>
      </w:pPr>
      <w:r>
        <w:rPr>
          <w:bCs/>
          <w:b/>
        </w:rPr>
        <w:t xml:space="preserve">Neutral adoption.</w:t>
      </w:r>
      <w:r>
        <w:t xml:space="preserve"> </w:t>
      </w:r>
      <w:r>
        <w:t xml:space="preserve">A company with no UAP-related work may adopt this Supplement without</w:t>
      </w:r>
      <w:r>
        <w:t xml:space="preserve"> </w:t>
      </w:r>
      <w:r>
        <w:t xml:space="preserve">misleading anyone, and a company with such work avoids signaling it. Do not file the restricted-issuer</w:t>
      </w:r>
      <w:r>
        <w:t xml:space="preserve"> </w:t>
      </w:r>
      <w:r>
        <w:t xml:space="preserve">schedule or the Covered Persons list with the SEC or post them internally.</w:t>
      </w:r>
    </w:p>
    <w:p>
      <w:pPr>
        <w:pStyle w:val="Compact"/>
        <w:numPr>
          <w:ilvl w:val="0"/>
          <w:numId w:val="1001"/>
        </w:numPr>
      </w:pPr>
      <w:r>
        <w:rPr>
          <w:bCs/>
          <w:b/>
        </w:rPr>
        <w:t xml:space="preserve">Exhibit filing.</w:t>
      </w:r>
      <w:r>
        <w:t xml:space="preserve"> </w:t>
      </w:r>
      <w:r>
        <w:t xml:space="preserve">Item 408(b)(1)-(2) of Regulation S-K (17 C.F.R. §229.408(b)) requires issuers to disclose whether they have</w:t>
      </w:r>
      <w:r>
        <w:t xml:space="preserve"> </w:t>
      </w:r>
      <w:r>
        <w:t xml:space="preserve">adopted insider trading policies and to file them as exhibits to the annual report. Confirm with</w:t>
      </w:r>
      <w:r>
        <w:t xml:space="preserve"> </w:t>
      </w:r>
      <w:r>
        <w:t xml:space="preserve">securities counsel whether the Supplement must be filed with the Policy and, if so, keep it general,</w:t>
      </w:r>
      <w:r>
        <w:t xml:space="preserve"> </w:t>
      </w:r>
      <w:r>
        <w:t xml:space="preserve">as drafted.</w:t>
      </w:r>
    </w:p>
    <w:p>
      <w:pPr>
        <w:pStyle w:val="Compact"/>
        <w:numPr>
          <w:ilvl w:val="0"/>
          <w:numId w:val="1001"/>
        </w:numPr>
      </w:pPr>
      <w:r>
        <w:rPr>
          <w:bCs/>
          <w:b/>
        </w:rPr>
        <w:t xml:space="preserve">Section 10.</w:t>
      </w:r>
      <w:r>
        <w:t xml:space="preserve"> </w:t>
      </w:r>
      <w:r>
        <w:t xml:space="preserve">The whistleblower carve-out tracks SEC Rule 21F-17(a), which bars any action to</w:t>
      </w:r>
      <w:r>
        <w:t xml:space="preserve"> </w:t>
      </w:r>
      <w:r>
        <w:t xml:space="preserve">impede an individual from communicating with the SEC about a possible securities law violation,</w:t>
      </w:r>
      <w:r>
        <w:t xml:space="preserve"> </w:t>
      </w:r>
      <w:r>
        <w:t xml:space="preserve">including enforcement of confidentiality agreements. Keep it.</w:t>
      </w:r>
    </w:p>
    <w:p>
      <w:pPr>
        <w:pStyle w:val="Compact"/>
        <w:numPr>
          <w:ilvl w:val="0"/>
          <w:numId w:val="1001"/>
        </w:numPr>
      </w:pPr>
      <w:r>
        <w:rPr>
          <w:bCs/>
          <w:b/>
        </w:rPr>
        <w:t xml:space="preserve">Event contracts.</w:t>
      </w:r>
      <w:r>
        <w:t xml:space="preserve"> </w:t>
      </w:r>
      <w:r>
        <w:t xml:space="preserve">Section 5(c) covers prediction-market positions on disclosure timing. Whether a</w:t>
      </w:r>
      <w:r>
        <w:t xml:space="preserve"> </w:t>
      </w:r>
      <w:r>
        <w:t xml:space="preserve">given contract is a swap or event contract subject to CFTC jurisdiction is unsettled (</w:t>
      </w:r>
      <w:hyperlink r:id="rId20">
        <w:r>
          <w:rPr>
            <w:rStyle w:val="Hyperlink"/>
          </w:rPr>
          <w:t xml:space="preserve">Issue E4</w:t>
        </w:r>
      </w:hyperlink>
      <w:r>
        <w:t xml:space="preserve">);</w:t>
      </w:r>
      <w:r>
        <w:t xml:space="preserve"> </w:t>
      </w:r>
      <w:r>
        <w:t xml:space="preserve">the policy restriction applies either way.</w:t>
      </w:r>
    </w:p>
    <w:p>
      <w:pPr>
        <w:pStyle w:val="Compact"/>
        <w:numPr>
          <w:ilvl w:val="0"/>
          <w:numId w:val="1001"/>
        </w:numPr>
      </w:pPr>
      <w:r>
        <w:rPr>
          <w:bCs/>
          <w:b/>
        </w:rPr>
        <w:t xml:space="preserve">Classified handling.</w:t>
      </w:r>
      <w:r>
        <w:t xml:space="preserve"> </w:t>
      </w:r>
      <w:r>
        <w:t xml:space="preserve">The Facility Security Officer should confirm that maintaining the Covered</w:t>
      </w:r>
      <w:r>
        <w:t xml:space="preserve"> </w:t>
      </w:r>
      <w:r>
        <w:t xml:space="preserve">Persons list and the restricted-issuer schedule does not itself require classification under the</w:t>
      </w:r>
      <w:r>
        <w:t xml:space="preserve"> </w:t>
      </w:r>
      <w:r>
        <w:t xml:space="preserve">applicable DD Form 254 or security classification guide.</w:t>
      </w:r>
    </w:p>
    <w:p>
      <w:pPr>
        <w:pStyle w:val="Compact"/>
        <w:numPr>
          <w:ilvl w:val="0"/>
          <w:numId w:val="1001"/>
        </w:numPr>
      </w:pPr>
      <w:r>
        <w:t xml:space="preserve">See</w:t>
      </w:r>
      <w:r>
        <w:t xml:space="preserve"> </w:t>
      </w:r>
      <w:hyperlink r:id="rId20">
        <w:r>
          <w:rPr>
            <w:rStyle w:val="Hyperlink"/>
          </w:rPr>
          <w:t xml:space="preserve">Issue E4</w:t>
        </w:r>
      </w:hyperlink>
      <w:r>
        <w:t xml:space="preserve"> </w:t>
      </w:r>
      <w:r>
        <w:t xml:space="preserve">(securities law),</w:t>
      </w:r>
      <w:r>
        <w:t xml:space="preserve"> </w:t>
      </w:r>
      <w:hyperlink r:id="rId21">
        <w:r>
          <w:rPr>
            <w:rStyle w:val="Hyperlink"/>
          </w:rPr>
          <w:t xml:space="preserve">Issue D2</w:t>
        </w:r>
      </w:hyperlink>
      <w:r>
        <w:t xml:space="preserve"> </w:t>
      </w:r>
      <w:r>
        <w:t xml:space="preserve">(contractor disclosure duties), and</w:t>
      </w:r>
      <w:r>
        <w:t xml:space="preserve"> </w:t>
      </w:r>
      <w:hyperlink r:id="rId22">
        <w:r>
          <w:rPr>
            <w:rStyle w:val="Hyperlink"/>
          </w:rPr>
          <w:t xml:space="preserve">Issue C4</w:t>
        </w:r>
      </w:hyperlink>
      <w:r>
        <w:t xml:space="preserve"> </w:t>
      </w:r>
      <w:r>
        <w:t xml:space="preserve">(representing</w:t>
      </w:r>
      <w:r>
        <w:t xml:space="preserve"> </w:t>
      </w:r>
      <w:r>
        <w:t xml:space="preserve">cleared clients).</w:t>
      </w:r>
    </w:p>
    <w:bookmarkEnd w:id="23"/>
    <w:bookmarkEnd w:id="24"/>
    <w:sectPr>
      <w:headerReference w:type="default" r:id="rId14"/>
      <w:footerReference w:type="default" r:id="rId15"/>
      <w:pgSz w:h="15840" w:w="12240"/>
      <w:pgMar w:bottom="1440" w:left="1440" w:right="1440" w:top="1440" w:header="720" w:footer="57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mbria" w:hAnsi="Cambria" w:cs="Cambria" w:eastAsia="Cambria"/>
        <w:sz w:val="18"/>
      </w:rPr>
      <w:t xml:space="preserve">Page </w:t>
    </w:r>
    <w:r>
      <w:rPr>
        <w:rFonts w:ascii="Cambria" w:hAnsi="Cambria" w:cs="Cambria" w:eastAsia="Cambria"/>
        <w:sz w:val="18"/>
      </w:rPr>
      <w:fldChar w:fldCharType="begin"/>
    </w:r>
    <w:r>
      <w:rPr>
        <w:rFonts w:ascii="Cambria" w:hAnsi="Cambria" w:cs="Cambria" w:eastAsia="Cambria"/>
        <w:sz w:val="18"/>
      </w:rPr>
      <w:instrText xml:space="preserve"> PAGE </w:instrText>
    </w:r>
    <w:r>
      <w:rPr>
        <w:rFonts w:ascii="Cambria" w:hAnsi="Cambria" w:cs="Cambria" w:eastAsia="Cambria"/>
        <w:sz w:val="18"/>
      </w:rPr>
      <w:fldChar w:fldCharType="separate"/>
    </w:r>
    <w:r>
      <w:rPr>
        <w:rFonts w:ascii="Cambria" w:hAnsi="Cambria" w:cs="Cambria" w:eastAsia="Cambria"/>
        <w:sz w:val="18"/>
      </w:rPr>
      <w:t>1</w:t>
    </w:r>
    <w:r>
      <w:rPr>
        <w:rFonts w:ascii="Cambria" w:hAnsi="Cambria" w:cs="Cambria" w:eastAsia="Cambria"/>
        <w:sz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before="0" w:line="259" w:lineRule="auto"/>
    </w:pPr>
    <w:rPr>
      <w:rFonts w:ascii="Cambria" w:cs="Cambria" w:eastAsia="Cambria" w:hAnsi="Cambria"/>
      <w:color w:val="000000"/>
      <w:sz w:val="23"/>
    </w:rPr>
  </w:style>
  <w:style w:styleId="BodyText" w:type="paragraph">
    <w:name w:val="Body Text"/>
    <w:basedOn w:val="Normal"/>
    <w:link w:val="BodyTextChar"/>
    <w:pPr>
      <w:spacing w:after="160" w:before="0" w:line="259" w:lineRule="auto"/>
    </w:pPr>
    <w:qFormat/>
    <w:rPr>
      <w:rFonts w:ascii="Cambria" w:cs="Cambria" w:eastAsia="Cambria" w:hAnsi="Cambria"/>
      <w:color w:val="000000"/>
      <w:sz w:val="23"/>
    </w:rPr>
  </w:style>
  <w:style w:customStyle="1" w:styleId="FirstParagraph" w:type="paragraph">
    <w:name w:val="First Paragraph"/>
    <w:basedOn w:val="BodyText"/>
    <w:next w:val="BodyText"/>
    <w:qFormat/>
    <w:pPr>
      <w:spacing w:after="160" w:before="0" w:line="259" w:lineRule="auto"/>
    </w:pPr>
    <w:rPr>
      <w:rFonts w:ascii="Cambria" w:cs="Cambria" w:eastAsia="Cambria" w:hAnsi="Cambria"/>
      <w:color w:val="000000"/>
      <w:sz w:val="23"/>
    </w:rPr>
  </w:style>
  <w:style w:customStyle="1" w:styleId="Compact" w:type="paragraph">
    <w:name w:val="Compact"/>
    <w:basedOn w:val="BodyText"/>
    <w:qFormat/>
    <w:pPr>
      <w:spacing w:after="160" w:before="0" w:line="259" w:lineRule="auto"/>
    </w:pPr>
    <w:rPr>
      <w:rFonts w:ascii="Cambria" w:cs="Cambria" w:eastAsia="Cambria" w:hAnsi="Cambria"/>
      <w:color w:val="000000"/>
      <w:sz w:val="23"/>
    </w:rPr>
  </w:style>
  <w:style w:styleId="Title" w:type="paragraph">
    <w:name w:val="Title"/>
    <w:basedOn w:val="Normal"/>
    <w:next w:val="BodyText"/>
    <w:qFormat/>
    <w:pPr>
      <w:keepNext/>
      <w:keepLines/>
      <w:spacing w:after="160" w:before="480"/>
      <w:jc w:val="left"/>
    </w:pPr>
    <w:rPr>
      <w:rFonts w:ascii="Cambria" w:cs="Cambria" w:eastAsia="Cambria" w:hAnsi="Cambria"/>
      <w:b/>
      <w:bCs/>
      <w:color w:val="1A2B3C"/>
      <w:sz w:val="40"/>
      <w:szCs w:val="36"/>
    </w:rPr>
  </w:style>
  <w:style w:styleId="Subtitle" w:type="paragraph">
    <w:name w:val="Subtitle"/>
    <w:basedOn w:val="Title"/>
    <w:next w:val="BodyText"/>
    <w:qFormat/>
    <w:pPr>
      <w:keepNext/>
      <w:keepLines/>
      <w:spacing w:after="160" w:before="240"/>
      <w:jc w:val="left"/>
    </w:pPr>
    <w:rPr>
      <w:rFonts w:ascii="Cambria" w:cs="Cambria" w:eastAsia="Cambria" w:hAnsi="Cambria"/>
      <w:color w:val="1A2B3C"/>
      <w:sz w:val="22"/>
      <w:szCs w:val="30"/>
    </w:rPr>
  </w:style>
  <w:style w:customStyle="1" w:styleId="Author" w:type="paragraph">
    <w:name w:val="Author"/>
    <w:next w:val="BodyText"/>
    <w:qFormat/>
    <w:pPr>
      <w:keepNext/>
      <w:keepLines/>
      <w:jc w:val="center"/>
    </w:pPr>
    <w:rPr>
      <w:rFonts w:ascii="Cambria" w:cs="Cambria" w:eastAsia="Cambria" w:hAnsi="Cambria"/>
      <w:color w:val="000000"/>
    </w:rPr>
  </w:style>
  <w:style w:styleId="Date" w:type="paragraph">
    <w:name w:val="Date"/>
    <w:next w:val="BodyText"/>
    <w:qFormat/>
    <w:pPr>
      <w:keepNext/>
      <w:keepLines/>
      <w:jc w:val="center"/>
    </w:pPr>
    <w:rPr>
      <w:rFonts w:ascii="Cambria" w:cs="Cambria" w:eastAsia="Cambria" w:hAnsi="Cambria"/>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Cambria" w:cs="Cambria" w:eastAsia="Cambria" w:hAnsi="Cambria"/>
      <w:b/>
    </w:rPr>
  </w:style>
  <w:style w:customStyle="1" w:styleId="Abstract" w:type="paragraph">
    <w:name w:val="Abstract"/>
    <w:basedOn w:val="Normal"/>
    <w:next w:val="BodyText"/>
    <w:qFormat/>
    <w:pPr>
      <w:keepNext/>
      <w:keepLines/>
      <w:spacing w:after="300" w:before="100"/>
    </w:pPr>
    <w:rPr>
      <w:rFonts w:ascii="Cambria" w:cs="Cambria" w:eastAsia="Cambria" w:hAnsi="Cambria"/>
      <w:color w:val="000000"/>
      <w:sz w:val="20"/>
      <w:szCs w:val="20"/>
    </w:rPr>
  </w:style>
  <w:style w:styleId="Bibliography" w:type="paragraph">
    <w:name w:val="Bibliography"/>
    <w:basedOn w:val="Normal"/>
    <w:next w:val="Bibliography"/>
    <w:qFormat/>
    <w:pPr/>
    <w:rPr>
      <w:rFonts w:ascii="Cambria" w:cs="Cambria" w:eastAsia="Cambria" w:hAnsi="Cambria"/>
      <w:color w:val="000000"/>
    </w:rPr>
  </w:style>
  <w:style w:styleId="Heading1" w:type="paragraph">
    <w:name w:val="Heading 1"/>
    <w:basedOn w:val="Normal"/>
    <w:next w:val="BodyText"/>
    <w:uiPriority w:val="9"/>
    <w:qFormat/>
    <w:pPr>
      <w:keepNext/>
      <w:keepLines/>
      <w:spacing w:after="120" w:before="280"/>
      <w:outlineLvl w:val="0"/>
    </w:pPr>
    <w:rPr>
      <w:rFonts w:ascii="Cambria" w:cs="Cambria" w:eastAsia="Cambria" w:hAnsi="Cambria"/>
      <w:b/>
      <w:bCs/>
      <w:i w:val="0"/>
      <w:color w:val="1A2B3C"/>
      <w:sz w:val="30"/>
      <w:szCs w:val="32"/>
    </w:rPr>
  </w:style>
  <w:style w:styleId="Heading2" w:type="paragraph">
    <w:name w:val="Heading 2"/>
    <w:basedOn w:val="Normal"/>
    <w:next w:val="BodyText"/>
    <w:uiPriority w:val="9"/>
    <w:unhideWhenUsed/>
    <w:qFormat/>
    <w:pPr>
      <w:keepNext/>
      <w:keepLines/>
      <w:spacing w:after="120" w:before="200"/>
      <w:outlineLvl w:val="1"/>
    </w:pPr>
    <w:rPr>
      <w:rFonts w:ascii="Cambria" w:cs="Cambria" w:eastAsia="Cambria" w:hAnsi="Cambria"/>
      <w:b/>
      <w:bCs/>
      <w:i w:val="0"/>
      <w:color w:val="1A2B3C"/>
      <w:sz w:val="25"/>
      <w:szCs w:val="28"/>
    </w:rPr>
  </w:style>
  <w:style w:styleId="Heading3" w:type="paragraph">
    <w:name w:val="Heading 3"/>
    <w:basedOn w:val="Normal"/>
    <w:next w:val="BodyText"/>
    <w:uiPriority w:val="9"/>
    <w:unhideWhenUsed/>
    <w:qFormat/>
    <w:pPr>
      <w:keepNext/>
      <w:keepLines/>
      <w:spacing w:after="120" w:before="200"/>
      <w:outlineLvl w:val="2"/>
    </w:pPr>
    <w:rPr>
      <w:rFonts w:ascii="Cambria" w:cs="Cambria" w:eastAsia="Cambria" w:hAnsi="Cambria"/>
      <w:b/>
      <w:bCs/>
      <w:i w:val="0"/>
      <w:color w:val="1A2B3C"/>
      <w:sz w:val="23"/>
      <w:szCs w:val="24"/>
    </w:rPr>
  </w:style>
  <w:style w:styleId="Heading4" w:type="paragraph">
    <w:name w:val="Heading 4"/>
    <w:basedOn w:val="Normal"/>
    <w:next w:val="BodyText"/>
    <w:uiPriority w:val="9"/>
    <w:unhideWhenUsed/>
    <w:qFormat/>
    <w:pPr>
      <w:keepNext/>
      <w:keepLines/>
      <w:spacing w:after="120" w:before="200"/>
      <w:outlineLvl w:val="3"/>
    </w:pPr>
    <w:rPr>
      <w:rFonts w:ascii="Cambria" w:cs="Cambria" w:eastAsia="Cambria" w:hAnsi="Cambria"/>
      <w:i w:val="0"/>
      <w:b/>
      <w:bCs/>
      <w:color w:val="1A2B3C"/>
      <w:sz w:val="23"/>
      <w:szCs w:val="24"/>
    </w:rPr>
  </w:style>
  <w:style w:styleId="Heading5" w:type="paragraph">
    <w:name w:val="Heading 5"/>
    <w:basedOn w:val="Normal"/>
    <w:next w:val="BodyText"/>
    <w:uiPriority w:val="9"/>
    <w:unhideWhenUsed/>
    <w:qFormat/>
    <w:pPr>
      <w:keepNext/>
      <w:keepLines/>
      <w:spacing w:after="0" w:before="200"/>
      <w:outlineLvl w:val="4"/>
    </w:pPr>
    <w:rPr>
      <w:rFonts w:ascii="Cambria" w:cs="Cambria" w:eastAsia="Cambria" w:hAnsi="Cambria"/>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Cambria" w:cs="Cambria" w:eastAsia="Cambria" w:hAnsi="Cambria"/>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Cambria" w:cs="Cambria" w:eastAsia="Cambria" w:hAnsi="Cambria"/>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Cambria" w:cs="Cambria" w:eastAsia="Cambria" w:hAnsi="Cambria"/>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Cambria" w:cs="Cambria" w:eastAsia="Cambria" w:hAnsi="Cambria"/>
      <w:color w:val="000000"/>
      <w:sz w:val="24"/>
      <w:szCs w:val="24"/>
    </w:rPr>
  </w:style>
  <w:style w:styleId="BlockText" w:type="paragraph">
    <w:name w:val="Block Text"/>
    <w:basedOn w:val="BodyText"/>
    <w:next w:val="BodyText"/>
    <w:uiPriority w:val="9"/>
    <w:unhideWhenUsed/>
    <w:qFormat/>
    <w:pPr>
      <w:spacing w:after="160" w:before="0" w:line="259" w:lineRule="auto"/>
      <w:ind w:firstLine="0" w:left="720" w:right="720"/>
    </w:pPr>
    <w:rPr>
      <w:rFonts w:ascii="Cambria" w:cs="Cambria" w:eastAsia="Cambria" w:hAnsi="Cambria"/>
      <w:color w:val="000000"/>
      <w:sz w:val="23"/>
    </w:rPr>
  </w:style>
  <w:style w:styleId="FootnoteText" w:type="paragraph">
    <w:name w:val="Footnote Text"/>
    <w:basedOn w:val="Normal"/>
    <w:next w:val="FootnoteText"/>
    <w:uiPriority w:val="9"/>
    <w:unhideWhenUsed/>
    <w:qFormat/>
    <w:rPr>
      <w:rFonts w:ascii="Cambria" w:cs="Cambria" w:eastAsia="Cambria" w:hAnsi="Cambria"/>
      <w:color w:val="000000"/>
    </w:rPr>
  </w:style>
  <w:style w:default="1" w:styleId="DefaultParagraphFont" w:type="character">
    <w:name w:val="Default Paragraph Font"/>
    <w:semiHidden/>
    <w:unhideWhenUsed/>
    <w:rPr>
      <w:rFonts w:ascii="Cambria" w:cs="Cambria" w:eastAsia="Cambria" w:hAnsi="Cambria"/>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Cambria" w:cs="Cambria" w:eastAsia="Cambria" w:hAnsi="Cambria"/>
      <w:b/>
      <w:color w:val="000000"/>
    </w:rPr>
  </w:style>
  <w:style w:customStyle="1" w:styleId="Definition" w:type="paragraph">
    <w:name w:val="Definition"/>
    <w:basedOn w:val="Normal"/>
    <w:rPr>
      <w:rFonts w:ascii="Cambria" w:cs="Cambria" w:eastAsia="Cambria" w:hAnsi="Cambria"/>
      <w:color w:val="000000"/>
    </w:rPr>
  </w:style>
  <w:style w:styleId="Caption" w:type="paragraph">
    <w:name w:val="Caption"/>
    <w:basedOn w:val="Normal"/>
    <w:link w:val="BodyTextChar"/>
    <w:pPr>
      <w:spacing w:after="120" w:before="0"/>
    </w:pPr>
    <w:rPr>
      <w:rFonts w:ascii="Cambria" w:cs="Cambria" w:eastAsia="Cambria" w:hAnsi="Cambria"/>
      <w:i/>
      <w:color w:val="000000"/>
    </w:rPr>
  </w:style>
  <w:style w:customStyle="1" w:styleId="TableCaption" w:type="paragraph">
    <w:name w:val="Table Caption"/>
    <w:basedOn w:val="Caption"/>
    <w:pPr>
      <w:keepNext/>
    </w:pPr>
    <w:rPr>
      <w:rFonts w:ascii="Cambria" w:cs="Cambria" w:eastAsia="Cambria" w:hAnsi="Cambria"/>
      <w:color w:val="000000"/>
    </w:rPr>
  </w:style>
  <w:style w:customStyle="1" w:styleId="ImageCaption" w:type="paragraph">
    <w:name w:val="Image Caption"/>
    <w:basedOn w:val="Caption"/>
    <w:rPr>
      <w:rFonts w:ascii="Cambria" w:cs="Cambria" w:eastAsia="Cambria" w:hAnsi="Cambria"/>
      <w:color w:val="000000"/>
    </w:rPr>
  </w:style>
  <w:style w:customStyle="1" w:styleId="Figure" w:type="paragraph">
    <w:name w:val="Figure"/>
    <w:basedOn w:val="Normal"/>
    <w:rPr>
      <w:rFonts w:ascii="Cambria" w:cs="Cambria" w:eastAsia="Cambria" w:hAnsi="Cambria"/>
      <w:color w:val="000000"/>
    </w:rPr>
  </w:style>
  <w:style w:customStyle="1" w:styleId="CaptionedFigure" w:type="paragraph">
    <w:name w:val="Captioned Figure"/>
    <w:basedOn w:val="Figure"/>
    <w:pPr>
      <w:keepNext/>
    </w:pPr>
    <w:rPr>
      <w:rFonts w:ascii="Cambria" w:cs="Cambria" w:eastAsia="Cambria" w:hAnsi="Cambria"/>
      <w:color w:val="000000"/>
    </w:rPr>
  </w:style>
  <w:style w:customStyle="1" w:styleId="BodyTextChar" w:type="character">
    <w:name w:val="Body Text Char"/>
    <w:basedOn w:val="DefaultParagraphFont"/>
    <w:link w:val="BodyText"/>
    <w:rPr>
      <w:rFonts w:ascii="Cambria" w:cs="Cambria" w:eastAsia="Cambria" w:hAnsi="Cambria"/>
      <w:color w:val="000000"/>
    </w:rPr>
  </w:style>
  <w:style w:customStyle="1" w:styleId="VerbatimChar" w:type="character">
    <w:name w:val="Verbatim Char"/>
    <w:basedOn w:val="BodyTextChar"/>
    <w:rPr>
      <w:rFonts w:ascii="Cambria" w:cs="Cambria" w:eastAsia="Cambria" w:hAnsi="Cambria"/>
      <w:color w:val="000000"/>
      <w:sz w:val="22"/>
    </w:rPr>
  </w:style>
  <w:style w:customStyle="1" w:styleId="SectionNumber" w:type="character">
    <w:name w:val="Section Number"/>
    <w:basedOn w:val="BodyTextChar"/>
    <w:rPr>
      <w:rFonts w:ascii="Cambria" w:cs="Cambria" w:eastAsia="Cambria" w:hAnsi="Cambria"/>
      <w:color w:val="000000"/>
    </w:rPr>
  </w:style>
  <w:style w:styleId="FootnoteReference" w:type="character">
    <w:name w:val="Footnote Reference"/>
    <w:basedOn w:val="BodyTextChar"/>
    <w:rPr>
      <w:rFonts w:ascii="Cambria" w:cs="Cambria" w:eastAsia="Cambria" w:hAnsi="Cambria"/>
      <w:color w:val="000000"/>
      <w:vertAlign w:val="superscript"/>
    </w:rPr>
  </w:style>
  <w:style w:styleId="Hyperlink" w:type="character">
    <w:name w:val="Hyperlink"/>
    <w:basedOn w:val="BodyTextChar"/>
    <w:rPr>
      <w:rFonts w:ascii="Cambria" w:cs="Cambria" w:eastAsia="Cambria" w:hAnsi="Cambria"/>
      <w:color w:val="1F6E6E"/>
    </w:rPr>
  </w:style>
  <w:style w:styleId="TOCHeading" w:type="paragraph">
    <w:name w:val="TOC Heading"/>
    <w:basedOn w:val="Heading1"/>
    <w:next w:val="BodyText"/>
    <w:uiPriority w:val="39"/>
    <w:unhideWhenUsed/>
    <w:qFormat/>
    <w:pPr>
      <w:spacing w:before="240" w:line="259" w:lineRule="auto"/>
      <w:outlineLvl w:val="9"/>
    </w:pPr>
    <w:rPr>
      <w:rFonts w:ascii="Cambria" w:cs="Cambria" w:eastAsia="Cambria" w:hAnsi="Cambria"/>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2" Type="http://schemas.openxmlformats.org/officeDocument/2006/relationships/hyperlink" Target="https://nhilaw.com/issues/c4.html" TargetMode="External"/><Relationship Id="rId21" Type="http://schemas.openxmlformats.org/officeDocument/2006/relationships/hyperlink" Target="https://nhilaw.com/issues/d2.html" TargetMode="External"/><Relationship Id="rId20" Type="http://schemas.openxmlformats.org/officeDocument/2006/relationships/hyperlink" Target="https://nhilaw.com/issues/e4.html"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header" Target="header3.xml"/><Relationship Id="rId15" Type="http://schemas.openxmlformats.org/officeDocument/2006/relationships/footer" Target="footer4.xml"/></Relationships>
</file>

<file path=word/_rels/footnotes.xml.rels><?xml version='1.0' encoding='UTF-8' standalone='yes'?>
<Relationships xmlns="http://schemas.openxmlformats.org/package/2006/relationships"><Relationship Id="rId22" Type="http://schemas.openxmlformats.org/officeDocument/2006/relationships/hyperlink" Target="https://nhilaw.com/issues/c4.html" TargetMode="External"/><Relationship Id="rId21" Type="http://schemas.openxmlformats.org/officeDocument/2006/relationships/hyperlink" Target="https://nhilaw.com/issues/d2.html" TargetMode="External"/><Relationship Id="rId20" Type="http://schemas.openxmlformats.org/officeDocument/2006/relationships/hyperlink" Target="https://nhilaw.com/issues/e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E4-1. Insider Trading Policy Supplement for Personnel with Knowledge of UAP-Related Programs or a Pending Disclosure</dc:title>
  <dc:creator>nhilaw.com</dc:creator>
  <cp:keywords/>
  <dcterms:created xsi:type="dcterms:W3CDTF">2026-10-19T03:14:17Z</dcterms:created>
  <dcterms:modified xsi:type="dcterms:W3CDTF">2026-10-19T03:14:17Z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