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8" w:name="X511b5907db7b78f0dbbc9f79966f451d03160e3"/>
    <w:p>
      <w:pPr>
        <w:pStyle w:val="Heading1"/>
      </w:pPr>
      <w:r>
        <w:t xml:space="preserve">Form E4-2. Model Risk Factor and Form 8-K Language for a Government UAP Disclosure Event</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https://nhilaw.com/forms/e4-2.html</w:t>
      </w:r>
    </w:p>
    <w:p>
      <w:pPr>
        <w:pStyle w:val="BodyText"/>
        <w:spacing w:after="160" w:line="259" w:lineRule="auto"/>
      </w:pPr>
      <w:r>
        <w:rPr>
          <w:bCs/>
          <w:b/>
        </w:rPr>
        <w:t xml:space="preserve">Use.</w:t>
      </w:r>
      <w:r>
        <w:t xml:space="preserve"> </w:t>
      </w:r>
      <w:r>
        <w:t xml:space="preserve">Part A is a risk factor for the annual report (Regulation S-K Item 105) that a classified</w:t>
      </w:r>
      <w:r>
        <w:t xml:space="preserve"> </w:t>
      </w:r>
      <w:r>
        <w:t xml:space="preserve">contractor can carry before any disclosure event without revealing whether it has UAP-related work. Part</w:t>
      </w:r>
      <w:r>
        <w:t xml:space="preserve"> </w:t>
      </w:r>
      <w:r>
        <w:t xml:space="preserve">B is a Form 8-K shell for use after the government publicly identifies the company, or a program it</w:t>
      </w:r>
      <w:r>
        <w:t xml:space="preserve"> </w:t>
      </w:r>
      <w:r>
        <w:t xml:space="preserve">supports, in connection with UAP. Part C lists the review steps.</w:t>
      </w:r>
      <w:r>
        <w:t xml:space="preserve"> </w:t>
      </w:r>
      <w:hyperlink r:id="rId20">
        <w:r>
          <w:rPr>
            <w:rStyle w:val="Hyperlink"/>
          </w:rPr>
          <w:t xml:space="preserve">Issue E4</w:t>
        </w:r>
      </w:hyperlink>
      <w:r>
        <w:t xml:space="preserve"> </w:t>
      </w:r>
      <w:r>
        <w:t xml:space="preserve">explains why statements made</w:t>
      </w:r>
      <w:r>
        <w:t xml:space="preserve"> </w:t>
      </w:r>
      <w:r>
        <w:t xml:space="preserve">about classified work must not be misleading even though classified details may be omitted.</w:t>
      </w:r>
    </w:p>
    <w:p>
      <w:pPr>
        <w:pStyle w:val="BodyText"/>
        <w:spacing w:after="160" w:line="259" w:lineRule="auto"/>
      </w:pPr>
      <w:r>
        <w:rPr>
          <w:bCs/>
          <w:b/>
        </w:rPr>
        <w:t xml:space="preserve">When to use.</w:t>
      </w:r>
      <w:r>
        <w:t xml:space="preserve"> </w:t>
      </w:r>
      <w:r>
        <w:t xml:space="preserve">A public company describing UAP-related legal risk in its annual report, or a disclosure event on Form 8-K.</w:t>
      </w:r>
      <w:r>
        <w:t xml:space="preserve"> </w:t>
      </w:r>
      <w:r>
        <w:rPr>
          <w:bCs/>
          <w:b/>
        </w:rPr>
        <w:t xml:space="preserve">Not for:</w:t>
      </w:r>
      <w:r>
        <w:t xml:space="preserve"> </w:t>
      </w:r>
      <w:r>
        <w:t xml:space="preserve">Private companies.</w:t>
      </w:r>
    </w:p>
    <w:p>
      <w:pPr>
        <w:pStyle w:val="BodyText"/>
        <w:spacing w:after="160" w:line="259" w:lineRule="auto"/>
      </w:pPr>
      <w:r>
        <w:rPr>
          <w:bCs/>
          <w:b/>
        </w:rPr>
        <w:t xml:space="preserve">Deadlines.</w:t>
      </w:r>
      <w:r>
        <w:t xml:space="preserve"> </w:t>
      </w:r>
      <w:r>
        <w:t xml:space="preserve">Form 8-K within four business days of the event (General Instruction B.1).</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bookmarkStart w:id="21" w:name="part-a.-risk-factor-item-105"/>
    <w:p>
      <w:pPr>
        <w:pStyle w:val="Heading2"/>
      </w:pPr>
      <w:r>
        <w:t xml:space="preserve">Part A. Risk factor (Item 105)</w:t>
      </w:r>
    </w:p>
    <w:p>
      <w:pPr>
        <w:pStyle w:val="FirstParagraph"/>
      </w:pPr>
      <w:r>
        <w:rPr>
          <w:bCs/>
          <w:b/>
        </w:rPr>
        <w:t xml:space="preserve">Government disclosures concerning classified programs, including programs relating to unidentified</w:t>
      </w:r>
      <w:r>
        <w:rPr>
          <w:bCs/>
          <w:b/>
        </w:rPr>
        <w:t xml:space="preserve"> </w:t>
      </w:r>
      <w:r>
        <w:rPr>
          <w:bCs/>
          <w:b/>
        </w:rPr>
        <w:t xml:space="preserve">anomalous phenomena, could affect our business in ways we cannot predict or describe in advance.</w:t>
      </w:r>
    </w:p>
    <w:p>
      <w:pPr>
        <w:pStyle w:val="BodyText"/>
      </w:pPr>
      <w:r>
        <w:t xml:space="preserve">A significant portion of our revenue comes from classified contracts. Federal law restricts what we may</w:t>
      </w:r>
      <w:r>
        <w:t xml:space="preserve"> </w:t>
      </w:r>
      <w:r>
        <w:t xml:space="preserve">say about those contracts, and we describe them only in general terms. The United States government has</w:t>
      </w:r>
      <w:r>
        <w:t xml:space="preserve"> </w:t>
      </w:r>
      <w:r>
        <w:t xml:space="preserve">enacted laws requiring the review and public release of records concerning unidentified anomalous</w:t>
      </w:r>
      <w:r>
        <w:t xml:space="preserve"> </w:t>
      </w:r>
      <w:r>
        <w:t xml:space="preserve">phenomena (</w:t>
      </w:r>
      <w:r>
        <w:t xml:space="preserve">“</w:t>
      </w:r>
      <w:r>
        <w:t xml:space="preserve">UAP</w:t>
      </w:r>
      <w:r>
        <w:t xml:space="preserve">”</w:t>
      </w:r>
      <w:r>
        <w:t xml:space="preserve">), and has established procedures under which current and former government and</w:t>
      </w:r>
      <w:r>
        <w:t xml:space="preserve"> </w:t>
      </w:r>
      <w:r>
        <w:t xml:space="preserve">contractor personnel may report information about UAP-related programs. Congress has considered</w:t>
      </w:r>
      <w:r>
        <w:t xml:space="preserve"> </w:t>
      </w:r>
      <w:r>
        <w:t xml:space="preserve">legislation that would, among other things, provide for government acquisition of certain privately</w:t>
      </w:r>
      <w:r>
        <w:t xml:space="preserve"> </w:t>
      </w:r>
      <w:r>
        <w:t xml:space="preserve">held material and technology relating to UAP. Government statements, record releases, legislation,</w:t>
      </w:r>
      <w:r>
        <w:t xml:space="preserve"> </w:t>
      </w:r>
      <w:r>
        <w:t xml:space="preserve">hearings, or investigations concerning UAP or other classified programs could identify contractors,</w:t>
      </w:r>
      <w:r>
        <w:t xml:space="preserve"> </w:t>
      </w:r>
      <w:r>
        <w:t xml:space="preserve">including us, as participants in classified work; could lead to inquiries from Congress, government</w:t>
      </w:r>
      <w:r>
        <w:t xml:space="preserve"> </w:t>
      </w:r>
      <w:r>
        <w:t xml:space="preserve">agencies, investors, and the press that we may be unable to answer because of classification</w:t>
      </w:r>
      <w:r>
        <w:t xml:space="preserve"> </w:t>
      </w:r>
      <w:r>
        <w:t xml:space="preserve">restrictions; could result in the modification, termination, or transfer of contracts, or in claims</w:t>
      </w:r>
      <w:r>
        <w:t xml:space="preserve"> </w:t>
      </w:r>
      <w:r>
        <w:t xml:space="preserve">concerning the ownership of property or intellectual property; and could cause volatility in the</w:t>
      </w:r>
      <w:r>
        <w:t xml:space="preserve"> </w:t>
      </w:r>
      <w:r>
        <w:t xml:space="preserve">trading price of our securities. Because we cannot disclose classified information, investors may have</w:t>
      </w:r>
      <w:r>
        <w:t xml:space="preserve"> </w:t>
      </w:r>
      <w:r>
        <w:t xml:space="preserve">less information about these risks than about other aspects of our business.</w:t>
      </w:r>
    </w:p>
    <w:p>
      <w:pPr>
        <w:pStyle w:val="BodyText"/>
      </w:pPr>
      <w:r>
        <w:t xml:space="preserve">[Tailor. If the company has publicly stated that it has no UAP-related work, delete the risk factor’s</w:t>
      </w:r>
      <w:r>
        <w:t xml:space="preserve"> </w:t>
      </w:r>
      <w:r>
        <w:t xml:space="preserve">reference to identification of</w:t>
      </w:r>
      <w:r>
        <w:t xml:space="preserve"> </w:t>
      </w:r>
      <w:r>
        <w:t xml:space="preserve">“</w:t>
      </w:r>
      <w:r>
        <w:t xml:space="preserve">us</w:t>
      </w:r>
      <w:r>
        <w:t xml:space="preserve">”</w:t>
      </w:r>
      <w:r>
        <w:t xml:space="preserve"> </w:t>
      </w:r>
      <w:r>
        <w:t xml:space="preserve">only if that statement is accurate and remains accurate. If the</w:t>
      </w:r>
      <w:r>
        <w:t xml:space="preserve"> </w:t>
      </w:r>
      <w:r>
        <w:t xml:space="preserve">company cannot confirm accuracy because of compartmentalization, do not make the statement.]</w:t>
      </w:r>
    </w:p>
    <w:bookmarkEnd w:id="21"/>
    <w:bookmarkStart w:id="22" w:name="Xc656b4522e906ba18b575c20ebef06bfecea0d0"/>
    <w:p>
      <w:pPr>
        <w:pStyle w:val="Heading2"/>
      </w:pPr>
      <w:r>
        <w:t xml:space="preserve">Part B. Form 8-K shell after a government disclosure</w:t>
      </w:r>
    </w:p>
    <w:p>
      <w:pPr>
        <w:pStyle w:val="FirstParagraph"/>
      </w:pPr>
      <w:r>
        <w:rPr>
          <w:bCs/>
          <w:b/>
        </w:rPr>
        <w:t xml:space="preserve">Item 7.01 Regulation FD Disclosure</w:t>
      </w:r>
      <w:r>
        <w:t xml:space="preserve"> </w:t>
      </w:r>
      <w:r>
        <w:t xml:space="preserve">[furnished, or</w:t>
      </w:r>
      <w:r>
        <w:t xml:space="preserve"> </w:t>
      </w:r>
      <w:r>
        <w:rPr>
          <w:bCs/>
          <w:b/>
        </w:rPr>
        <w:t xml:space="preserve">Item 8.01 Other Events</w:t>
      </w:r>
      <w:r>
        <w:t xml:space="preserve"> </w:t>
      </w:r>
      <w:r>
        <w:t xml:space="preserve">if filed]</w:t>
      </w:r>
    </w:p>
    <w:p>
      <w:pPr>
        <w:pStyle w:val="BodyText"/>
      </w:pPr>
      <w:r>
        <w:t xml:space="preserve">On [date], [agency or official] [released records / issued a statement / testified before (committee)]</w:t>
      </w:r>
      <w:r>
        <w:t xml:space="preserve"> </w:t>
      </w:r>
      <w:r>
        <w:t xml:space="preserve">concerning [describe the government action in the government’s own public terms]. [The statement</w:t>
      </w:r>
      <w:r>
        <w:t xml:space="preserve"> </w:t>
      </w:r>
      <w:r>
        <w:t xml:space="preserve">identifies the Company as / The released records refer to] [quote or paraphrase only what the</w:t>
      </w:r>
      <w:r>
        <w:t xml:space="preserve"> </w:t>
      </w:r>
      <w:r>
        <w:t xml:space="preserve">government made public].</w:t>
      </w:r>
    </w:p>
    <w:p>
      <w:pPr>
        <w:pStyle w:val="BodyText"/>
      </w:pPr>
      <w:r>
        <w:t xml:space="preserve">The Company [has performed / performs] work for the United States government under classified</w:t>
      </w:r>
      <w:r>
        <w:t xml:space="preserve"> </w:t>
      </w:r>
      <w:r>
        <w:t xml:space="preserve">contracts. Federal law restricts the Company’s ability to comment on classified programs, and the</w:t>
      </w:r>
      <w:r>
        <w:t xml:space="preserve"> </w:t>
      </w:r>
      <w:r>
        <w:t xml:space="preserve">Company will not confirm, deny, or elaborate on any classified matter except to the extent the</w:t>
      </w:r>
      <w:r>
        <w:t xml:space="preserve"> </w:t>
      </w:r>
      <w:r>
        <w:t xml:space="preserve">government authorizes. [If authorized:] The [agency] has authorized the Company to state that</w:t>
      </w:r>
      <w:r>
        <w:t xml:space="preserve"> </w:t>
      </w:r>
      <w:r>
        <w:t xml:space="preserve">[authorized text].</w:t>
      </w:r>
    </w:p>
    <w:p>
      <w:pPr>
        <w:pStyle w:val="BodyText"/>
      </w:pPr>
      <w:r>
        <w:t xml:space="preserve">[If known and material:] The Company derived approximately [__]% of its revenue in fiscal [year] from</w:t>
      </w:r>
      <w:r>
        <w:t xml:space="preserve"> </w:t>
      </w:r>
      <w:r>
        <w:t xml:space="preserve">classified contracts. The Company does not currently expect the [government action] to [describe</w:t>
      </w:r>
      <w:r>
        <w:t xml:space="preserve"> </w:t>
      </w:r>
      <w:r>
        <w:t xml:space="preserve">expected effect, if any, e.g.,</w:t>
      </w:r>
      <w:r>
        <w:t xml:space="preserve"> </w:t>
      </w:r>
      <w:r>
        <w:t xml:space="preserve">“</w:t>
      </w:r>
      <w:r>
        <w:t xml:space="preserve">result in the termination of any contract</w:t>
      </w:r>
      <w:r>
        <w:t xml:space="preserve">”</w:t>
      </w:r>
      <w:r>
        <w:t xml:space="preserve">], but it cannot predict</w:t>
      </w:r>
      <w:r>
        <w:t xml:space="preserve"> </w:t>
      </w:r>
      <w:r>
        <w:t xml:space="preserve">further government actions.</w:t>
      </w:r>
    </w:p>
    <w:p>
      <w:pPr>
        <w:pStyle w:val="BodyText"/>
      </w:pPr>
      <w:r>
        <w:t xml:space="preserve">[Add as applicable:]</w:t>
      </w:r>
      <w:r>
        <w:t xml:space="preserve"> </w:t>
      </w:r>
      <w:r>
        <w:t xml:space="preserve">-</w:t>
      </w:r>
      <w:r>
        <w:t xml:space="preserve"> </w:t>
      </w:r>
      <w:r>
        <w:rPr>
          <w:bCs/>
          <w:b/>
        </w:rPr>
        <w:t xml:space="preserve">Item 1.01 / 1.02</w:t>
      </w:r>
      <w:r>
        <w:t xml:space="preserve"> </w:t>
      </w:r>
      <w:r>
        <w:t xml:space="preserve">if a material contract is entered into, amended, or terminated as a result.</w:t>
      </w:r>
      <w:r>
        <w:t xml:space="preserve"> </w:t>
      </w:r>
      <w:r>
        <w:t xml:space="preserve">-</w:t>
      </w:r>
      <w:r>
        <w:t xml:space="preserve"> </w:t>
      </w:r>
      <w:r>
        <w:rPr>
          <w:bCs/>
          <w:b/>
        </w:rPr>
        <w:t xml:space="preserve">Item 2.06</w:t>
      </w:r>
      <w:r>
        <w:t xml:space="preserve"> </w:t>
      </w:r>
      <w:r>
        <w:t xml:space="preserve">if the event requires a material impairment charge.</w:t>
      </w:r>
      <w:r>
        <w:t xml:space="preserve"> </w:t>
      </w:r>
      <w:r>
        <w:t xml:space="preserve">-</w:t>
      </w:r>
      <w:r>
        <w:t xml:space="preserve"> </w:t>
      </w:r>
      <w:r>
        <w:rPr>
          <w:bCs/>
          <w:b/>
        </w:rPr>
        <w:t xml:space="preserve">Item 8.01</w:t>
      </w:r>
      <w:r>
        <w:t xml:space="preserve"> </w:t>
      </w:r>
      <w:r>
        <w:t xml:space="preserve">for a government demand to inspect, transfer, or acquire Company property (see Issue</w:t>
      </w:r>
      <w:r>
        <w:t xml:space="preserve"> </w:t>
      </w:r>
      <w:r>
        <w:t xml:space="preserve">E1), describing the demand in unclassified terms.</w:t>
      </w:r>
    </w:p>
    <w:p>
      <w:pPr>
        <w:pStyle w:val="BodyText"/>
      </w:pPr>
      <w:r>
        <w:rPr>
          <w:bCs/>
          <w:b/>
        </w:rPr>
        <w:t xml:space="preserve">Forward-looking statements.</w:t>
      </w:r>
      <w:r>
        <w:t xml:space="preserve"> </w:t>
      </w:r>
      <w:r>
        <w:t xml:space="preserve">[Standard safe-harbor language, adapted to identify the government</w:t>
      </w:r>
      <w:r>
        <w:t xml:space="preserve"> </w:t>
      </w:r>
      <w:r>
        <w:t xml:space="preserve">action, contract modifications, property claims, and investigations as risk factors.]</w:t>
      </w:r>
    </w:p>
    <w:bookmarkEnd w:id="22"/>
    <w:bookmarkStart w:id="24" w:name="part-c.-review-checklist-before-filing"/>
    <w:p>
      <w:pPr>
        <w:pStyle w:val="Heading2"/>
      </w:pPr>
      <w:r>
        <w:t xml:space="preserve">Part C. Review checklist before filing</w:t>
      </w:r>
    </w:p>
    <w:p>
      <w:pPr>
        <w:pStyle w:val="Compact"/>
        <w:numPr>
          <w:ilvl w:val="0"/>
          <w:numId w:val="1001"/>
        </w:numPr>
      </w:pPr>
      <w:r>
        <w:rPr>
          <w:bCs/>
          <w:b/>
        </w:rPr>
        <w:t xml:space="preserve">Security review.</w:t>
      </w:r>
      <w:r>
        <w:t xml:space="preserve"> </w:t>
      </w:r>
      <w:r>
        <w:t xml:space="preserve">Confirm with the Facility Security Officer and the contracting agency’s security</w:t>
      </w:r>
      <w:r>
        <w:t xml:space="preserve"> </w:t>
      </w:r>
      <w:r>
        <w:t xml:space="preserve">office that every sentence is unclassified and approved for public release. Retain the written</w:t>
      </w:r>
      <w:r>
        <w:t xml:space="preserve"> </w:t>
      </w:r>
      <w:r>
        <w:t xml:space="preserve">approval.</w:t>
      </w:r>
    </w:p>
    <w:p>
      <w:pPr>
        <w:pStyle w:val="Compact"/>
        <w:numPr>
          <w:ilvl w:val="0"/>
          <w:numId w:val="1001"/>
        </w:numPr>
      </w:pPr>
      <w:r>
        <w:rPr>
          <w:bCs/>
          <w:b/>
        </w:rPr>
        <w:t xml:space="preserve">Government text only.</w:t>
      </w:r>
      <w:r>
        <w:t xml:space="preserve"> </w:t>
      </w:r>
      <w:r>
        <w:t xml:space="preserve">Describe the government’s action using only the government’s public</w:t>
      </w:r>
      <w:r>
        <w:t xml:space="preserve"> </w:t>
      </w:r>
      <w:r>
        <w:t xml:space="preserve">words. Do not characterize what the government</w:t>
      </w:r>
      <w:r>
        <w:t xml:space="preserve"> </w:t>
      </w:r>
      <w:r>
        <w:t xml:space="preserve">“</w:t>
      </w:r>
      <w:r>
        <w:t xml:space="preserve">confirmed.</w:t>
      </w:r>
      <w:r>
        <w:t xml:space="preserve">”</w:t>
      </w:r>
    </w:p>
    <w:p>
      <w:pPr>
        <w:pStyle w:val="Compact"/>
        <w:numPr>
          <w:ilvl w:val="0"/>
          <w:numId w:val="1001"/>
        </w:numPr>
      </w:pPr>
      <w:r>
        <w:rPr>
          <w:bCs/>
          <w:b/>
        </w:rPr>
        <w:t xml:space="preserve">Prior statements.</w:t>
      </w:r>
      <w:r>
        <w:t xml:space="preserve"> </w:t>
      </w:r>
      <w:r>
        <w:t xml:space="preserve">Collect every prior public statement by the Company, its officers, and its</w:t>
      </w:r>
      <w:r>
        <w:t xml:space="preserve"> </w:t>
      </w:r>
      <w:r>
        <w:t xml:space="preserve">investor relations staff about UAP or related programs, and determine whether any is now inaccurate</w:t>
      </w:r>
      <w:r>
        <w:t xml:space="preserve"> </w:t>
      </w:r>
      <w:r>
        <w:t xml:space="preserve">or misleading. Correct it if so.</w:t>
      </w:r>
    </w:p>
    <w:p>
      <w:pPr>
        <w:pStyle w:val="Compact"/>
        <w:numPr>
          <w:ilvl w:val="0"/>
          <w:numId w:val="1001"/>
        </w:numPr>
      </w:pPr>
      <w:r>
        <w:rPr>
          <w:bCs/>
          <w:b/>
        </w:rPr>
        <w:t xml:space="preserve">Regulation FD.</w:t>
      </w:r>
      <w:r>
        <w:t xml:space="preserve"> </w:t>
      </w:r>
      <w:r>
        <w:t xml:space="preserve">Do not brief analysts or selected investors on the event before the 8-K is</w:t>
      </w:r>
      <w:r>
        <w:t xml:space="preserve"> </w:t>
      </w:r>
      <w:r>
        <w:t xml:space="preserve">filed or furnished. 17 C.F.R. §243.100.</w:t>
      </w:r>
    </w:p>
    <w:p>
      <w:pPr>
        <w:pStyle w:val="Compact"/>
        <w:numPr>
          <w:ilvl w:val="0"/>
          <w:numId w:val="1001"/>
        </w:numPr>
      </w:pPr>
      <w:r>
        <w:rPr>
          <w:bCs/>
          <w:b/>
        </w:rPr>
        <w:t xml:space="preserve">Trading.</w:t>
      </w:r>
      <w:r>
        <w:t xml:space="preserve"> </w:t>
      </w:r>
      <w:r>
        <w:t xml:space="preserve">Confirm that the special blackout in</w:t>
      </w:r>
      <w:r>
        <w:t xml:space="preserve"> </w:t>
      </w:r>
      <w:hyperlink r:id="rId23">
        <w:r>
          <w:rPr>
            <w:rStyle w:val="Hyperlink"/>
          </w:rPr>
          <w:t xml:space="preserve">Form E4-1</w:t>
        </w:r>
      </w:hyperlink>
      <w:r>
        <w:t xml:space="preserve"> </w:t>
      </w:r>
      <w:r>
        <w:t xml:space="preserve">§7 is in effect for Covered Persons.</w:t>
      </w:r>
    </w:p>
    <w:p>
      <w:pPr>
        <w:pStyle w:val="Compact"/>
        <w:numPr>
          <w:ilvl w:val="0"/>
          <w:numId w:val="1001"/>
        </w:numPr>
      </w:pPr>
      <w:r>
        <w:rPr>
          <w:bCs/>
          <w:b/>
        </w:rPr>
        <w:t xml:space="preserve">Filed or furnished.</w:t>
      </w:r>
      <w:r>
        <w:t xml:space="preserve"> </w:t>
      </w:r>
      <w:r>
        <w:t xml:space="preserve">Information furnished under Item 7.01 is not subject to Exchange Act §18</w:t>
      </w:r>
      <w:r>
        <w:t xml:space="preserve"> </w:t>
      </w:r>
      <w:r>
        <w:t xml:space="preserve">liability unless incorporated by reference; information filed under Item 8.01 is. Choose</w:t>
      </w:r>
      <w:r>
        <w:t xml:space="preserve"> </w:t>
      </w:r>
      <w:r>
        <w:t xml:space="preserve">deliberately.</w:t>
      </w:r>
    </w:p>
    <w:p>
      <w:pPr>
        <w:pStyle w:val="Compact"/>
        <w:numPr>
          <w:ilvl w:val="0"/>
          <w:numId w:val="1001"/>
        </w:numPr>
      </w:pPr>
      <w:r>
        <w:rPr>
          <w:bCs/>
          <w:b/>
        </w:rPr>
        <w:t xml:space="preserve">Contract notices.</w:t>
      </w:r>
      <w:r>
        <w:t xml:space="preserve"> </w:t>
      </w:r>
      <w:r>
        <w:t xml:space="preserve">Check whether the contract requires notice to, or approval of, the</w:t>
      </w:r>
      <w:r>
        <w:t xml:space="preserve"> </w:t>
      </w:r>
      <w:r>
        <w:t xml:space="preserve">contracting officer before any public release concerning the program.</w:t>
      </w:r>
    </w:p>
    <w:p>
      <w:pPr>
        <w:pStyle w:val="FirstParagraph"/>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End w:id="24"/>
    <w:bookmarkStart w:id="27" w:name="drafting-notes"/>
    <w:p>
      <w:pPr>
        <w:pStyle w:val="Heading2"/>
      </w:pPr>
      <w:r>
        <w:t xml:space="preserve">Drafting notes</w:t>
      </w:r>
    </w:p>
    <w:p>
      <w:pPr>
        <w:pStyle w:val="Compact"/>
        <w:numPr>
          <w:ilvl w:val="0"/>
          <w:numId w:val="1002"/>
        </w:numPr>
      </w:pPr>
      <w:r>
        <w:t xml:space="preserve">A general risk factor that accurately describes the legal setting (the UAP records statutes and the</w:t>
      </w:r>
      <w:r>
        <w:t xml:space="preserve"> </w:t>
      </w:r>
      <w:r>
        <w:t xml:space="preserve">reporting channel under 50 U.S.C. §3373b) neither confirms nor denies any program. Avoid adjectives</w:t>
      </w:r>
      <w:r>
        <w:t xml:space="preserve"> </w:t>
      </w:r>
      <w:r>
        <w:t xml:space="preserve">that imply knowledge (</w:t>
      </w:r>
      <w:r>
        <w:t xml:space="preserve">“</w:t>
      </w:r>
      <w:r>
        <w:t xml:space="preserve">significant,</w:t>
      </w:r>
      <w:r>
        <w:t xml:space="preserve">”</w:t>
      </w:r>
      <w:r>
        <w:t xml:space="preserve"> </w:t>
      </w:r>
      <w:r>
        <w:t xml:space="preserve">“</w:t>
      </w:r>
      <w:r>
        <w:t xml:space="preserve">longstanding</w:t>
      </w:r>
      <w:r>
        <w:t xml:space="preserve">”</w:t>
      </w:r>
      <w:r>
        <w:t xml:space="preserve">) unless they are accurate.</w:t>
      </w:r>
    </w:p>
    <w:p>
      <w:pPr>
        <w:pStyle w:val="Compact"/>
        <w:numPr>
          <w:ilvl w:val="0"/>
          <w:numId w:val="1002"/>
        </w:numPr>
      </w:pPr>
      <w:r>
        <w:t xml:space="preserve">If the Company has ever publicly denied UAP-related work, have counsel decide whether that statement</w:t>
      </w:r>
      <w:r>
        <w:t xml:space="preserve"> </w:t>
      </w:r>
      <w:r>
        <w:t xml:space="preserve">must be corrected before or with the 8-K. The duty to update or correct prior statements is</w:t>
      </w:r>
      <w:r>
        <w:t xml:space="preserve"> </w:t>
      </w:r>
      <w:r>
        <w:t xml:space="preserve">unsettled and depends on the circuit; the safer course is correction.</w:t>
      </w:r>
    </w:p>
    <w:p>
      <w:pPr>
        <w:pStyle w:val="Compact"/>
        <w:numPr>
          <w:ilvl w:val="0"/>
          <w:numId w:val="1002"/>
        </w:numPr>
      </w:pPr>
      <w:r>
        <w:rPr>
          <w:bCs/>
          <w:b/>
        </w:rPr>
        <w:t xml:space="preserve">Silence and half-truths.</w:t>
      </w:r>
      <w:r>
        <w:t xml:space="preserve"> </w:t>
      </w:r>
      <w:r>
        <w:t xml:space="preserve">Rule 10b-5(b) does not reach pure omissions; it reaches statements made misleading</w:t>
      </w:r>
      <w:r>
        <w:t xml:space="preserve"> </w:t>
      </w:r>
      <w:r>
        <w:t xml:space="preserve">by what they leave out.</w:t>
      </w:r>
      <w:r>
        <w:t xml:space="preserve"> </w:t>
      </w:r>
      <w:r>
        <w:rPr>
          <w:iCs/>
          <w:i/>
        </w:rPr>
        <w:t xml:space="preserve">Macquarie Infrastructure Corp. v. Moab Partners, L.P.</w:t>
      </w:r>
      <w:r>
        <w:t xml:space="preserve">, 601 U.S. 257, 263-64 (2024). A</w:t>
      </w:r>
      <w:r>
        <w:t xml:space="preserve"> </w:t>
      </w:r>
      <w:r>
        <w:t xml:space="preserve">company that has said nothing about classified work is safer than one that has described a segment or a capability</w:t>
      </w:r>
      <w:r>
        <w:t xml:space="preserve"> </w:t>
      </w:r>
      <w:r>
        <w:t xml:space="preserve">in terms that imply the full picture. Review prior segment descriptions, investor presentations, and earnings</w:t>
      </w:r>
      <w:r>
        <w:t xml:space="preserve"> </w:t>
      </w:r>
      <w:r>
        <w:t xml:space="preserve">calls for such statements before the disclosure event.</w:t>
      </w:r>
    </w:p>
    <w:p>
      <w:pPr>
        <w:pStyle w:val="Compact"/>
        <w:numPr>
          <w:ilvl w:val="0"/>
          <w:numId w:val="1002"/>
        </w:numPr>
      </w:pPr>
      <w:r>
        <w:rPr>
          <w:bCs/>
          <w:b/>
        </w:rPr>
        <w:t xml:space="preserve">Government request to delay.</w:t>
      </w:r>
      <w:r>
        <w:t xml:space="preserve"> </w:t>
      </w:r>
      <w:r>
        <w:t xml:space="preserve">If the government asks the Company to delay an announcement, get the request in</w:t>
      </w:r>
      <w:r>
        <w:t xml:space="preserve"> </w:t>
      </w:r>
      <w:r>
        <w:t xml:space="preserve">writing from an official with authority, and have counsel tell the SEC staff of it before the filing deadline. The</w:t>
      </w:r>
      <w:r>
        <w:t xml:space="preserve"> </w:t>
      </w:r>
      <w:r>
        <w:t xml:space="preserve">cybersecurity rule’s Item 1.05 delay (available when the Attorney General finds a substantial risk to national</w:t>
      </w:r>
      <w:r>
        <w:t xml:space="preserve"> </w:t>
      </w:r>
      <w:r>
        <w:t xml:space="preserve">security or public safety) shows the form a request should take, but no rule provides an equivalent delay for this</w:t>
      </w:r>
      <w:r>
        <w:t xml:space="preserve"> </w:t>
      </w:r>
      <w:r>
        <w:t xml:space="preserve">kind of event. Sample request:</w:t>
      </w:r>
      <w:r>
        <w:t xml:space="preserve"> </w:t>
      </w:r>
      <w:r>
        <w:t xml:space="preserve">“</w:t>
      </w:r>
      <w:r>
        <w:t xml:space="preserve">The [agency] requests that [Company] defer public disclosure of [subject] until</w:t>
      </w:r>
      <w:r>
        <w:t xml:space="preserve"> </w:t>
      </w:r>
      <w:r>
        <w:t xml:space="preserve">[date or event] because disclosure before then would [harm stated in unclassified terms]. This request is made</w:t>
      </w:r>
      <w:r>
        <w:t xml:space="preserve"> </w:t>
      </w:r>
      <w:r>
        <w:t xml:space="preserve">under [authority].</w:t>
      </w:r>
      <w:r>
        <w:t xml:space="preserve">”</w:t>
      </w:r>
    </w:p>
    <w:p>
      <w:pPr>
        <w:pStyle w:val="Compact"/>
        <w:numPr>
          <w:ilvl w:val="0"/>
          <w:numId w:val="1002"/>
        </w:numPr>
      </w:pPr>
      <w:r>
        <w:rPr>
          <w:bCs/>
          <w:b/>
        </w:rPr>
        <w:t xml:space="preserve">Selective disclosure.</w:t>
      </w:r>
      <w:r>
        <w:t xml:space="preserve"> </w:t>
      </w:r>
      <w:r>
        <w:t xml:space="preserve">Do not brief analysts or large holders on the event before the 8-K or press release</w:t>
      </w:r>
      <w:r>
        <w:t xml:space="preserve"> </w:t>
      </w:r>
      <w:r>
        <w:t xml:space="preserve">(Regulation FD, 17 C.F.R. part 243).</w:t>
      </w:r>
    </w:p>
    <w:p>
      <w:pPr>
        <w:pStyle w:val="Compact"/>
        <w:numPr>
          <w:ilvl w:val="0"/>
          <w:numId w:val="1002"/>
        </w:numPr>
      </w:pPr>
      <w:r>
        <w:t xml:space="preserve">Cross-references:</w:t>
      </w:r>
      <w:r>
        <w:t xml:space="preserve"> </w:t>
      </w:r>
      <w:hyperlink r:id="rId20">
        <w:r>
          <w:rPr>
            <w:rStyle w:val="Hyperlink"/>
          </w:rPr>
          <w:t xml:space="preserve">Issue E4</w:t>
        </w:r>
      </w:hyperlink>
      <w:r>
        <w:t xml:space="preserve"> </w:t>
      </w:r>
      <w:r>
        <w:t xml:space="preserve">(securities),</w:t>
      </w:r>
      <w:r>
        <w:t xml:space="preserve"> </w:t>
      </w:r>
      <w:hyperlink r:id="rId25">
        <w:r>
          <w:rPr>
            <w:rStyle w:val="Hyperlink"/>
          </w:rPr>
          <w:t xml:space="preserve">Issue E1</w:t>
        </w:r>
      </w:hyperlink>
      <w:r>
        <w:t xml:space="preserve"> </w:t>
      </w:r>
      <w:r>
        <w:t xml:space="preserve">(taking of material),</w:t>
      </w:r>
      <w:r>
        <w:t xml:space="preserve"> </w:t>
      </w:r>
      <w:hyperlink r:id="rId26">
        <w:r>
          <w:rPr>
            <w:rStyle w:val="Hyperlink"/>
          </w:rPr>
          <w:t xml:space="preserve">Issue D2</w:t>
        </w:r>
      </w:hyperlink>
      <w:r>
        <w:t xml:space="preserve"> </w:t>
      </w:r>
      <w:r>
        <w:t xml:space="preserve">(contractor</w:t>
      </w:r>
      <w:r>
        <w:t xml:space="preserve"> </w:t>
      </w:r>
      <w:r>
        <w:t xml:space="preserve">disclosure duties),</w:t>
      </w:r>
      <w:r>
        <w:t xml:space="preserve"> </w:t>
      </w:r>
      <w:hyperlink r:id="rId23">
        <w:r>
          <w:rPr>
            <w:rStyle w:val="Hyperlink"/>
          </w:rPr>
          <w:t xml:space="preserve">Form E4-1</w:t>
        </w:r>
      </w:hyperlink>
      <w:r>
        <w:t xml:space="preserve">.</w:t>
      </w:r>
    </w:p>
    <w:bookmarkEnd w:id="27"/>
    <w:bookmarkEnd w:id="28"/>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3" Type="http://schemas.openxmlformats.org/officeDocument/2006/relationships/hyperlink" Target="https://nhilaw.com/forms/e4-1.html" TargetMode="External"/><Relationship Id="rId26" Type="http://schemas.openxmlformats.org/officeDocument/2006/relationships/hyperlink" Target="https://nhilaw.com/issues/d2.html" TargetMode="External"/><Relationship Id="rId25" Type="http://schemas.openxmlformats.org/officeDocument/2006/relationships/hyperlink" Target="https://nhilaw.com/issues/e1.html" TargetMode="External"/><Relationship Id="rId20" Type="http://schemas.openxmlformats.org/officeDocument/2006/relationships/hyperlink" Target="https://nhilaw.com/issues/e4.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3" Type="http://schemas.openxmlformats.org/officeDocument/2006/relationships/hyperlink" Target="https://nhilaw.com/forms/e4-1.html" TargetMode="External"/><Relationship Id="rId26" Type="http://schemas.openxmlformats.org/officeDocument/2006/relationships/hyperlink" Target="https://nhilaw.com/issues/d2.html" TargetMode="External"/><Relationship Id="rId25" Type="http://schemas.openxmlformats.org/officeDocument/2006/relationships/hyperlink" Target="https://nhilaw.com/issues/e1.html" TargetMode="External"/><Relationship Id="rId20" Type="http://schemas.openxmlformats.org/officeDocument/2006/relationships/hyperlink" Target="https://nhilaw.com/issues/e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E4-2. Model Risk Factor and Form 8-K Language for a Government UAP Disclosure Event</dc:title>
  <dc:creator>nhilaw.com</dc:creator>
  <cp:keywords/>
  <dcterms:created xsi:type="dcterms:W3CDTF">2026-10-19T03:14:20Z</dcterms:created>
  <dcterms:modified xsi:type="dcterms:W3CDTF">2026-10-19T03:14:20Z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