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Securities Law and UAP Disclosure: Contractor Disclosure Duties, Classified Information, and Insider Trading</w:t>
      </w:r>
    </w:p>
    <w:p>
      <w:pPr>
        <w:pStyle w:val="Subtitle"/>
      </w:pPr>
      <w:r>
        <w:t xml:space="preserve">Version 1.10 · October 2026 · nhilaw.com/issues/e4.html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3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Contractors may omit classified information from filings under SEC Rules 171 and 0-6, but statements they do make must not be misleading (Rule 12b-20).</w:t>
      </w:r>
    </w:p>
    <w:p>
      <w:pPr>
        <w:pStyle w:val="Compact"/>
        <w:numPr>
          <w:ilvl w:val="0"/>
          <w:numId w:val="1001"/>
        </w:numPr>
      </w:pPr>
      <w:r>
        <w:t xml:space="preserve">Silence about classified work is not actionable under Rule 10b-5(b); half-truths are (</w:t>
      </w:r>
      <w:r>
        <w:rPr>
          <w:iCs/>
          <w:i/>
        </w:rPr>
        <w:t xml:space="preserve">Macquarie</w:t>
      </w:r>
      <w:r>
        <w:t xml:space="preserve">). Avoid denials.</w:t>
      </w:r>
    </w:p>
    <w:p>
      <w:pPr>
        <w:pStyle w:val="Compact"/>
        <w:numPr>
          <w:ilvl w:val="0"/>
          <w:numId w:val="1001"/>
        </w:numPr>
      </w:pPr>
      <w:r>
        <w:t xml:space="preserve">Officials, contractor employees, and their tippees who trade securities or event contracts on nonpublic UAP information violate Rule 10b-5, the STOCK Act, and 7 U.S.C. §6c(a)(4).</w:t>
      </w:r>
    </w:p>
    <w:p>
      <w:pPr>
        <w:pStyle w:val="Compact"/>
        <w:numPr>
          <w:ilvl w:val="0"/>
          <w:numId w:val="1001"/>
        </w:numPr>
      </w:pPr>
      <w:r>
        <w:t xml:space="preserve">A coming disclosure that names the company can be material before it happens (</w:t>
      </w:r>
      <w:r>
        <w:rPr>
          <w:iCs/>
          <w:i/>
        </w:rPr>
        <w:t xml:space="preserve">Basic</w:t>
      </w:r>
      <w:r>
        <w:t xml:space="preserve">); impose blackouts (</w:t>
      </w:r>
      <w:hyperlink r:id="rId21">
        <w:r>
          <w:rPr>
            <w:rStyle w:val="Hyperlink"/>
          </w:rPr>
          <w:t xml:space="preserve">Form E4-1</w:t>
        </w:r>
      </w:hyperlink>
      <w:r>
        <w:t xml:space="preserve">) and prepare 8-K language (</w:t>
      </w:r>
      <w:hyperlink r:id="rId22">
        <w:r>
          <w:rPr>
            <w:rStyle w:val="Hyperlink"/>
          </w:rPr>
          <w:t xml:space="preserve">Form E4-2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Event contracts on UAP disclosure turn on resolution rules and are caught in unresolved federal-state preemption fights.</w:t>
      </w:r>
    </w:p>
    <w:p>
      <w:r>
        <w:pict>
          <v:rect style="width:0;height:1.5pt" o:hralign="center" o:hrstd="t" o:hr="t"/>
        </w:pict>
      </w:r>
    </w:p>
    <w:bookmarkEnd w:id="23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A disclosure that the government holds non-human technology, and that particular contractors have worked on it,</w:t>
      </w:r>
      <w:r>
        <w:t xml:space="preserve"> </w:t>
      </w:r>
      <w:r>
        <w:t xml:space="preserve">could move markets: defense and aerospace stocks, energy companies, and firms whose business could be disrupted.</w:t>
      </w:r>
      <w:r>
        <w:t xml:space="preserve"> </w:t>
      </w:r>
      <w:r>
        <w:t xml:space="preserve">Three sets of questions arise for public companies and investors.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Disclosure duties of contractors.</w:t>
      </w:r>
      <w:r>
        <w:t xml:space="preserve"> </w:t>
      </w:r>
      <w:r>
        <w:t xml:space="preserve">Securities law requires public companies to disclose material</w:t>
      </w:r>
      <w:r>
        <w:t xml:space="preserve"> </w:t>
      </w:r>
      <w:r>
        <w:t xml:space="preserve">information in periodic reports, but classified information cannot be disclosed. Companies resolve the</w:t>
      </w:r>
      <w:r>
        <w:t xml:space="preserve"> </w:t>
      </w:r>
      <w:r>
        <w:t xml:space="preserve">conflict by describing classified business in general terms and relying on Exchange Act §13(b)(3)(A), which</w:t>
      </w:r>
      <w:r>
        <w:t xml:space="preserve"> </w:t>
      </w:r>
      <w:r>
        <w:t xml:space="preserve">exempts from the books-and-records and internal-accounting provisions any matter concerning national security</w:t>
      </w:r>
      <w:r>
        <w:t xml:space="preserve"> </w:t>
      </w:r>
      <w:r>
        <w:t xml:space="preserve">when the head of a federal agency so directs in writing (15 U.S.C. §78m(b)(3)(A)). The exemption is narrow. It</w:t>
      </w:r>
      <w:r>
        <w:t xml:space="preserve"> </w:t>
      </w:r>
      <w:r>
        <w:t xml:space="preserve">relieves only</w:t>
      </w:r>
      <w:r>
        <w:t xml:space="preserve"> </w:t>
      </w:r>
      <w:r>
        <w:t xml:space="preserve">“</w:t>
      </w:r>
      <w:r>
        <w:t xml:space="preserve">duty or liability under paragraph (2)</w:t>
      </w:r>
      <w:r>
        <w:t xml:space="preserve">”</w:t>
      </w:r>
      <w:r>
        <w:t xml:space="preserve"> </w:t>
      </w:r>
      <w:r>
        <w:t xml:space="preserve">(the books-and-records and internal-controls</w:t>
      </w:r>
      <w:r>
        <w:t xml:space="preserve"> </w:t>
      </w:r>
      <w:r>
        <w:t xml:space="preserve">provisions), only for acts done</w:t>
      </w:r>
      <w:r>
        <w:t xml:space="preserve"> </w:t>
      </w:r>
      <w:r>
        <w:t xml:space="preserve">“</w:t>
      </w:r>
      <w:r>
        <w:t xml:space="preserve">upon the specific, written directive of the head of such department or</w:t>
      </w:r>
      <w:r>
        <w:t xml:space="preserve"> </w:t>
      </w:r>
      <w:r>
        <w:t xml:space="preserve">agency pursuant to Presidential authority,</w:t>
      </w:r>
      <w:r>
        <w:t xml:space="preserve">”</w:t>
      </w:r>
      <w:r>
        <w:t xml:space="preserve"> </w:t>
      </w:r>
      <w:r>
        <w:t xml:space="preserve">each directive must</w:t>
      </w:r>
      <w:r>
        <w:t xml:space="preserve"> </w:t>
      </w:r>
      <w:r>
        <w:t xml:space="preserve">“</w:t>
      </w:r>
      <w:r>
        <w:t xml:space="preserve">set forth the specific facts and</w:t>
      </w:r>
      <w:r>
        <w:t xml:space="preserve"> </w:t>
      </w:r>
      <w:r>
        <w:t xml:space="preserve">circumstances,</w:t>
      </w:r>
      <w:r>
        <w:t xml:space="preserve">”</w:t>
      </w:r>
      <w:r>
        <w:t xml:space="preserve"> </w:t>
      </w:r>
      <w:r>
        <w:t xml:space="preserve">and a directive expires after one year unless renewed in writing. It does not touch the</w:t>
      </w:r>
      <w:r>
        <w:t xml:space="preserve"> </w:t>
      </w:r>
      <w:r>
        <w:t xml:space="preserve">antifraud provisions or the duty to avoid misleading statements in periodic reports. Each agency head who issues</w:t>
      </w:r>
      <w:r>
        <w:t xml:space="preserve"> </w:t>
      </w:r>
      <w:r>
        <w:t xml:space="preserve">such a directive must keep a file of them and send a summary of the matters covered to the House and Senate</w:t>
      </w:r>
      <w:r>
        <w:t xml:space="preserve"> </w:t>
      </w:r>
      <w:r>
        <w:t xml:space="preserve">intelligence committees every October 1 (§78m(b)(3)(B)), so the committees can learn which companies have been</w:t>
      </w:r>
      <w:r>
        <w:t xml:space="preserve"> </w:t>
      </w:r>
      <w:r>
        <w:t xml:space="preserve">excused from books-and-records duties on national security grounds.</w:t>
      </w:r>
      <w:r>
        <w:t xml:space="preserve"> </w:t>
      </w:r>
      <w:r>
        <w:t xml:space="preserve">Misstatements about UAP-related programs (for example, denying involvement while performing classified work)</w:t>
      </w:r>
      <w:r>
        <w:t xml:space="preserve"> </w:t>
      </w:r>
      <w:r>
        <w:t xml:space="preserve">could create antifraud exposure under Rule 10b-5.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Insider trading.</w:t>
      </w:r>
      <w:r>
        <w:t xml:space="preserve"> </w:t>
      </w:r>
      <w:r>
        <w:t xml:space="preserve">Persons who trade on material nonpublic information about an impending disclosure, or</w:t>
      </w:r>
      <w:r>
        <w:t xml:space="preserve"> </w:t>
      </w:r>
      <w:r>
        <w:t xml:space="preserve">about a company’s role in UAP programs, in breach of a duty (employees, contractors, government officials who</w:t>
      </w:r>
      <w:r>
        <w:t xml:space="preserve"> </w:t>
      </w:r>
      <w:r>
        <w:t xml:space="preserve">are subject to the STOCK Act, tippees) violate §10(b) and Rule 10b-5.</w:t>
      </w:r>
      <w:r>
        <w:t xml:space="preserve"> </w:t>
      </w:r>
      <w:r>
        <w:rPr>
          <w:iCs/>
          <w:i/>
        </w:rPr>
        <w:t xml:space="preserve">United States v. O’Hagan</w:t>
      </w:r>
      <w:r>
        <w:t xml:space="preserve">, 521 U.S. 642</w:t>
      </w:r>
      <w:r>
        <w:t xml:space="preserve"> </w:t>
      </w:r>
      <w:r>
        <w:t xml:space="preserve">(1997) (misappropriation theory);</w:t>
      </w:r>
      <w:r>
        <w:t xml:space="preserve"> </w:t>
      </w:r>
      <w:r>
        <w:rPr>
          <w:iCs/>
          <w:i/>
        </w:rPr>
        <w:t xml:space="preserve">Salman v. United States</w:t>
      </w:r>
      <w:r>
        <w:t xml:space="preserve">, 580 U.S. 39 (2016) (tipping). The STOCK Act (Pub.</w:t>
      </w:r>
      <w:r>
        <w:t xml:space="preserve"> </w:t>
      </w:r>
      <w:r>
        <w:t xml:space="preserve">L. 112-105) confirms that members of Congress and federal employees owe a duty with respect to nonpublic</w:t>
      </w:r>
      <w:r>
        <w:t xml:space="preserve"> </w:t>
      </w:r>
      <w:r>
        <w:t xml:space="preserve">information derived from their positions. Information received in classified briefings about UAP programs</w:t>
      </w:r>
      <w:r>
        <w:t xml:space="preserve"> </w:t>
      </w:r>
      <w:r>
        <w:t xml:space="preserve">falls within that duty.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Market disruption.</w:t>
      </w:r>
      <w:r>
        <w:t xml:space="preserve"> </w:t>
      </w:r>
      <w:r>
        <w:t xml:space="preserve">A sudden official announcement could produce extreme volatility. Exchange circuit</w:t>
      </w:r>
      <w:r>
        <w:t xml:space="preserve"> </w:t>
      </w:r>
      <w:r>
        <w:t xml:space="preserve">breakers and SEC emergency authority (Exchange Act §12(k), 15 U.S.C. §78l(k)) apply. Coordination of the timing</w:t>
      </w:r>
      <w:r>
        <w:t xml:space="preserve"> </w:t>
      </w:r>
      <w:r>
        <w:t xml:space="preserve">of any announcement with market hours is a policy question for the executive.</w:t>
      </w:r>
    </w:p>
    <w:p>
      <w:r>
        <w:pict>
          <v:rect style="width:0;height:1.5pt" o:hralign="center" o:hrstd="t" o:hr="t"/>
        </w:pict>
      </w:r>
    </w:p>
    <w:bookmarkEnd w:id="24"/>
    <w:bookmarkStart w:id="30" w:name="contractor-disclosure"/>
    <w:p>
      <w:pPr>
        <w:pStyle w:val="Heading2"/>
      </w:pPr>
      <w:r>
        <w:t xml:space="preserve">2. Contractor disclosure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Regulation S-K Item 101 (business), Item 103 (legal proceedings), Item 105 (risk factors), Item 303 (MD&amp;A)</w:t>
      </w:r>
      <w:r>
        <w:t xml:space="preserve"> </w:t>
      </w:r>
      <w:r>
        <w:t xml:space="preserve">require disclosure of material information. Companies with classified work typically disclose the existence of</w:t>
      </w:r>
      <w:r>
        <w:t xml:space="preserve"> </w:t>
      </w:r>
      <w:r>
        <w:t xml:space="preserve">classified programs and their aggregate revenue in general terms.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Classified information</w:t>
      </w:r>
      <w:r>
        <w:t xml:space="preserve">: disclosure is limited by national security law; companies may omit classified</w:t>
      </w:r>
      <w:r>
        <w:t xml:space="preserve"> </w:t>
      </w:r>
      <w:r>
        <w:t xml:space="preserve">details, but statements they do make must not be misleading. A company that publicly denies any UAP program</w:t>
      </w:r>
      <w:r>
        <w:t xml:space="preserve"> </w:t>
      </w:r>
      <w:r>
        <w:t xml:space="preserve">while performing one risks Rule 10b-5 liability if the statement is material and the company had a duty to</w:t>
      </w:r>
      <w:r>
        <w:t xml:space="preserve"> </w:t>
      </w:r>
      <w:r>
        <w:t xml:space="preserve">speak or chose to speak.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SEC rules on classified information.</w:t>
      </w:r>
      <w:r>
        <w:t xml:space="preserve"> </w:t>
      </w:r>
      <w:r>
        <w:t xml:space="preserve">Securities Act Rule 171 and Exchange Act Rule 0-6 (17 C.F.R.</w:t>
      </w:r>
      <w:r>
        <w:t xml:space="preserve"> </w:t>
      </w:r>
      <w:r>
        <w:t xml:space="preserve">§§230.171, 240.0-6) provide that,</w:t>
      </w:r>
      <w:r>
        <w:t xml:space="preserve"> </w:t>
      </w:r>
      <w:r>
        <w:t xml:space="preserve">“</w:t>
      </w:r>
      <w:r>
        <w:t xml:space="preserve">[a]ny requirement to the contrary notwithstanding,</w:t>
      </w:r>
      <w:r>
        <w:t xml:space="preserve">”</w:t>
      </w:r>
      <w:r>
        <w:t xml:space="preserve"> </w:t>
      </w:r>
      <w:r>
        <w:t xml:space="preserve">no registration</w:t>
      </w:r>
      <w:r>
        <w:t xml:space="preserve"> </w:t>
      </w:r>
      <w:r>
        <w:t xml:space="preserve">statement, report, or proxy statement</w:t>
      </w:r>
      <w:r>
        <w:t xml:space="preserve"> </w:t>
      </w:r>
      <w:r>
        <w:t xml:space="preserve">“</w:t>
      </w:r>
      <w:r>
        <w:t xml:space="preserve">shall contain any document or information which, pursuant to</w:t>
      </w:r>
      <w:r>
        <w:t xml:space="preserve"> </w:t>
      </w:r>
      <w:r>
        <w:t xml:space="preserve">Executive order, has been classified.</w:t>
      </w:r>
      <w:r>
        <w:t xml:space="preserve">”</w:t>
      </w:r>
      <w:r>
        <w:t xml:space="preserve"> </w:t>
      </w:r>
      <w:r>
        <w:t xml:space="preserve">The registrant must submit the material to the classifying agency</w:t>
      </w:r>
      <w:r>
        <w:t xml:space="preserve"> </w:t>
      </w:r>
      <w:r>
        <w:t xml:space="preserve">before filing and file, in place of the omitted material, the agency’s written statement that it</w:t>
      </w:r>
      <w:r>
        <w:t xml:space="preserve"> </w:t>
      </w:r>
      <w:r>
        <w:t xml:space="preserve">“</w:t>
      </w:r>
      <w:r>
        <w:t xml:space="preserve">has been</w:t>
      </w:r>
      <w:r>
        <w:t xml:space="preserve"> </w:t>
      </w:r>
      <w:r>
        <w:t xml:space="preserve">classified or that the status thereof is awaiting determination</w:t>
      </w:r>
      <w:r>
        <w:t xml:space="preserve">”</w:t>
      </w:r>
      <w:r>
        <w:t xml:space="preserve"> </w:t>
      </w:r>
      <w:r>
        <w:t xml:space="preserve">(§240.0-6(b), (d)). Where the agency</w:t>
      </w:r>
      <w:r>
        <w:t xml:space="preserve"> </w:t>
      </w:r>
      <w:r>
        <w:t xml:space="preserve">determines that information on the subject may be disclosed, the agency’s statement to that effect is</w:t>
      </w:r>
      <w:r>
        <w:t xml:space="preserve"> </w:t>
      </w:r>
      <w:r>
        <w:t xml:space="preserve">submitted to the Commission, and the registrant</w:t>
      </w:r>
      <w:r>
        <w:t xml:space="preserve"> </w:t>
      </w:r>
      <w:r>
        <w:t xml:space="preserve">“</w:t>
      </w:r>
      <w:r>
        <w:t xml:space="preserve">may rely upon any such statement in filing or omitting</w:t>
      </w:r>
      <w:r>
        <w:t xml:space="preserve">”</w:t>
      </w:r>
      <w:r>
        <w:t xml:space="preserve"> </w:t>
      </w:r>
      <w:r>
        <w:t xml:space="preserve">the information (§240.0-6(b)). The rules are the mechanism by which a contractor can omit classified UAP</w:t>
      </w:r>
      <w:r>
        <w:t xml:space="preserve"> </w:t>
      </w:r>
      <w:r>
        <w:t xml:space="preserve">program information from a filing without violating disclosure requirements, but they do not displace Rule</w:t>
      </w:r>
      <w:r>
        <w:t xml:space="preserve"> </w:t>
      </w:r>
      <w:r>
        <w:t xml:space="preserve">12b-20, which requires</w:t>
      </w:r>
      <w:r>
        <w:t xml:space="preserve"> </w:t>
      </w:r>
      <w:r>
        <w:t xml:space="preserve">“</w:t>
      </w:r>
      <w:r>
        <w:t xml:space="preserve">such further material information … as may be necessary to make the required</w:t>
      </w:r>
      <w:r>
        <w:t xml:space="preserve"> </w:t>
      </w:r>
      <w:r>
        <w:t xml:space="preserve">statements … not misleading</w:t>
      </w:r>
      <w:r>
        <w:t xml:space="preserve">”</w:t>
      </w:r>
      <w:r>
        <w:t xml:space="preserve"> </w:t>
      </w:r>
      <w:r>
        <w:t xml:space="preserve">(17 C.F.R. §240.12b-20). A contractor that omits classified program detail</w:t>
      </w:r>
      <w:r>
        <w:t xml:space="preserve"> </w:t>
      </w:r>
      <w:r>
        <w:t xml:space="preserve">should describe the omission in general terms (classified work exists and is material, or is not) and should</w:t>
      </w:r>
      <w:r>
        <w:t xml:space="preserve"> </w:t>
      </w:r>
      <w:r>
        <w:t xml:space="preserve">obtain the agency statement Rule 0-6 contemplates. No reported decision applying Rule 0-6 or Rule 171 has been found; the rules date from 1968 (33 Fed. Reg. 7682).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Post-disclosure</w:t>
      </w:r>
      <w:r>
        <w:t xml:space="preserve">: once the government acknowledges programs and identifies participants, companies will face</w:t>
      </w:r>
      <w:r>
        <w:t xml:space="preserve"> </w:t>
      </w:r>
      <w:r>
        <w:t xml:space="preserve">questions on the financial impact (contract terms, title to material, IP, liabilities under Issues D2, D5, E1).</w:t>
      </w:r>
      <w:r>
        <w:t xml:space="preserve"> </w:t>
      </w:r>
      <w:r>
        <w:t xml:space="preserve">Risk factors should be updated promptly.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Event-driven disclosure (Form 8-K)</w:t>
      </w:r>
      <w:r>
        <w:t xml:space="preserve">: material contracts or government actions (for example, a taking of</w:t>
      </w:r>
      <w:r>
        <w:t xml:space="preserve"> </w:t>
      </w:r>
      <w:r>
        <w:t xml:space="preserve">company-held material under H.R. 8800 §1767) may require Form 8-K filings.</w:t>
      </w:r>
    </w:p>
    <w:bookmarkStart w:id="25" w:name="X89bca227700821a5da43d947977d1bafb225a35"/>
    <w:p>
      <w:pPr>
        <w:pStyle w:val="Heading3"/>
      </w:pPr>
      <w:r>
        <w:t xml:space="preserve">2.1 Silence, half-truths, and the duty to update</w:t>
      </w:r>
    </w:p>
    <w:p>
      <w:pPr>
        <w:pStyle w:val="FirstParagraph"/>
      </w:pPr>
      <w:r>
        <w:t xml:space="preserve">A company that says nothing about classified UAP work is in a stronger position than one that speaks.</w:t>
      </w:r>
      <w:r>
        <w:t xml:space="preserve"> </w:t>
      </w:r>
      <w:r>
        <w:t xml:space="preserve">“</w:t>
      </w:r>
      <w:r>
        <w:t xml:space="preserve">Pure omissions</w:t>
      </w:r>
      <w:r>
        <w:t xml:space="preserve"> </w:t>
      </w:r>
      <w:r>
        <w:t xml:space="preserve">are not actionable under Rule 10b-5(b)</w:t>
      </w:r>
      <w:r>
        <w:t xml:space="preserve">”</w:t>
      </w:r>
      <w:r>
        <w:t xml:space="preserve">: the rule reaches statements made misleading by what they leave out</w:t>
      </w:r>
      <w:r>
        <w:t xml:space="preserve"> </w:t>
      </w:r>
      <w:r>
        <w:t xml:space="preserve">(half-truths), not silence in circumstances that give it no particular meaning.</w:t>
      </w:r>
      <w:r>
        <w:t xml:space="preserve"> </w:t>
      </w:r>
      <w:r>
        <w:rPr>
          <w:iCs/>
          <w:i/>
        </w:rPr>
        <w:t xml:space="preserve">Macquarie Infrastructure Corp. v.</w:t>
      </w:r>
      <w:r>
        <w:rPr>
          <w:iCs/>
          <w:i/>
        </w:rPr>
        <w:t xml:space="preserve"> </w:t>
      </w:r>
      <w:r>
        <w:rPr>
          <w:iCs/>
          <w:i/>
        </w:rPr>
        <w:t xml:space="preserve">Moab Partners, L.P.</w:t>
      </w:r>
      <w:r>
        <w:t xml:space="preserve">, 601 U.S. 257, 263-64 (2024). Private claims remain available for half-truths, including those</w:t>
      </w:r>
      <w:r>
        <w:t xml:space="preserve"> </w:t>
      </w:r>
      <w:r>
        <w:t xml:space="preserve">created when a required disclosure is omitted from statements the company did make (</w:t>
      </w:r>
      <w:r>
        <w:rPr>
          <w:iCs/>
          <w:i/>
        </w:rPr>
        <w:t xml:space="preserve">id.</w:t>
      </w:r>
      <w:r>
        <w:t xml:space="preserve"> </w:t>
      </w:r>
      <w:r>
        <w:t xml:space="preserve">at 266). For a contractor</w:t>
      </w:r>
      <w:r>
        <w:t xml:space="preserve"> </w:t>
      </w:r>
      <w:r>
        <w:t xml:space="preserve">the consequence is practical: a statement such as</w:t>
      </w:r>
      <w:r>
        <w:t xml:space="preserve"> </w:t>
      </w:r>
      <w:r>
        <w:t xml:space="preserve">“</w:t>
      </w:r>
      <w:r>
        <w:t xml:space="preserve">we have no programs involving unidentified anomalous phenomena,</w:t>
      </w:r>
      <w:r>
        <w:t xml:space="preserve">”</w:t>
      </w:r>
      <w:r>
        <w:t xml:space="preserve"> </w:t>
      </w:r>
      <w:r>
        <w:t xml:space="preserve">or a description of a business segment that implies the full picture, can be actionable if it was materially</w:t>
      </w:r>
      <w:r>
        <w:t xml:space="preserve"> </w:t>
      </w:r>
      <w:r>
        <w:t xml:space="preserve">misleading; refusing to comment on classified work generally is not.</w:t>
      </w:r>
    </w:p>
    <w:p>
      <w:pPr>
        <w:pStyle w:val="BodyText"/>
      </w:pPr>
      <w:r>
        <w:t xml:space="preserve">Materiality of a possible future event, such as a disclosure that may or may not happen, depends on</w:t>
      </w:r>
      <w:r>
        <w:t xml:space="preserve"> </w:t>
      </w:r>
      <w:r>
        <w:t xml:space="preserve">“</w:t>
      </w:r>
      <w:r>
        <w:t xml:space="preserve">a balancing of</w:t>
      </w:r>
      <w:r>
        <w:t xml:space="preserve"> </w:t>
      </w:r>
      <w:r>
        <w:t xml:space="preserve">both the indicated probability that the event will occur and the anticipated magnitude of the event in light of the</w:t>
      </w:r>
      <w:r>
        <w:t xml:space="preserve"> </w:t>
      </w:r>
      <w:r>
        <w:t xml:space="preserve">totality of the company activity.</w:t>
      </w:r>
      <w:r>
        <w:t xml:space="preserve">”</w:t>
      </w:r>
      <w:r>
        <w:t xml:space="preserve"> </w:t>
      </w:r>
      <w:r>
        <w:rPr>
          <w:iCs/>
          <w:i/>
        </w:rPr>
        <w:t xml:space="preserve">Basic Inc. v. Levinson</w:t>
      </w:r>
      <w:r>
        <w:t xml:space="preserve">, 485 U.S. 224, 238 (1988). A credible signal that the</w:t>
      </w:r>
      <w:r>
        <w:t xml:space="preserve"> </w:t>
      </w:r>
      <w:r>
        <w:t xml:space="preserve">government will name a contractor in a UAP disclosure can be material even before it happens.</w:t>
      </w:r>
    </w:p>
    <w:bookmarkEnd w:id="25"/>
    <w:bookmarkStart w:id="26" w:name="X50eeaa6415f33184b445f49fdf21a0fa32c6754"/>
    <w:p>
      <w:pPr>
        <w:pStyle w:val="Heading3"/>
      </w:pPr>
      <w:r>
        <w:t xml:space="preserve">2.2 Delay for national security: the Item 1.05 model</w:t>
      </w:r>
    </w:p>
    <w:p>
      <w:pPr>
        <w:pStyle w:val="FirstParagraph"/>
      </w:pPr>
      <w:r>
        <w:t xml:space="preserve">The SEC’s 2023 cybersecurity rule shows how securities law can accommodate national security timing. A company that</w:t>
      </w:r>
      <w:r>
        <w:t xml:space="preserve"> </w:t>
      </w:r>
      <w:r>
        <w:t xml:space="preserve">must report a material cybersecurity incident on Form 8-K (Item 1.05) may delay the filing if the Attorney General</w:t>
      </w:r>
      <w:r>
        <w:t xml:space="preserve"> </w:t>
      </w:r>
      <w:r>
        <w:t xml:space="preserve">determines that disclosure would pose a substantial risk to national security or public safety and so notifies the</w:t>
      </w:r>
      <w:r>
        <w:t xml:space="preserve"> </w:t>
      </w:r>
      <w:r>
        <w:t xml:space="preserve">Commission. No comparable mechanism exists for a UAP disclosure event. A contractor that the government asks to hold</w:t>
      </w:r>
      <w:r>
        <w:t xml:space="preserve"> </w:t>
      </w:r>
      <w:r>
        <w:t xml:space="preserve">an announcement should get the request in writing and should ask the SEC staff, through counsel, how it will treat</w:t>
      </w:r>
      <w:r>
        <w:t xml:space="preserve"> </w:t>
      </w:r>
      <w:r>
        <w:t xml:space="preserve">the delay; a disclosure statute could add an Item 1.05-type provision.</w:t>
      </w:r>
    </w:p>
    <w:bookmarkEnd w:id="26"/>
    <w:bookmarkStart w:id="27" w:name="regulation-fd-and-board-oversight"/>
    <w:p>
      <w:pPr>
        <w:pStyle w:val="Heading3"/>
      </w:pPr>
      <w:r>
        <w:t xml:space="preserve">2.3 Regulation FD and board oversight</w:t>
      </w:r>
    </w:p>
    <w:p>
      <w:pPr>
        <w:pStyle w:val="FirstParagraph"/>
      </w:pPr>
      <w:r>
        <w:t xml:space="preserve">Once a contractor knows of a disclosure event that affects it, Regulation FD (17 C.F.R. §243.100) bars selective</w:t>
      </w:r>
      <w:r>
        <w:t xml:space="preserve"> </w:t>
      </w:r>
      <w:r>
        <w:t xml:space="preserve">disclosure to analysts or investors before public disclosure; briefings to customers and government officials are</w:t>
      </w:r>
      <w:r>
        <w:t xml:space="preserve"> </w:t>
      </w:r>
      <w:r>
        <w:t xml:space="preserve">not covered, but calls with investors are. Directors also have an oversight duty: a board that ignores red flags</w:t>
      </w:r>
      <w:r>
        <w:t xml:space="preserve"> </w:t>
      </w:r>
      <w:r>
        <w:t xml:space="preserve">about a program carrying legal and financial risk faces a claim under</w:t>
      </w:r>
      <w:r>
        <w:t xml:space="preserve"> </w:t>
      </w:r>
      <w:r>
        <w:rPr>
          <w:iCs/>
          <w:i/>
        </w:rPr>
        <w:t xml:space="preserve">In re Caremark International Inc. Derivative</w:t>
      </w:r>
      <w:r>
        <w:rPr>
          <w:iCs/>
          <w:i/>
        </w:rPr>
        <w:t xml:space="preserve"> </w:t>
      </w:r>
      <w:r>
        <w:rPr>
          <w:iCs/>
          <w:i/>
        </w:rPr>
        <w:t xml:space="preserve">Litigation</w:t>
      </w:r>
      <w:r>
        <w:t xml:space="preserve">, 698 A.2d 959 (Del. Ch. 1996). A board with cleared members should receive periodic classified briefings</w:t>
      </w:r>
      <w:r>
        <w:t xml:space="preserve"> </w:t>
      </w:r>
      <w:r>
        <w:t xml:space="preserve">on any UAP-related exposure, documented in unclassified minutes at a general level.</w:t>
      </w:r>
    </w:p>
    <w:bookmarkEnd w:id="27"/>
    <w:bookmarkStart w:id="29" w:name="whistleblowers"/>
    <w:p>
      <w:pPr>
        <w:pStyle w:val="Heading3"/>
      </w:pPr>
      <w:r>
        <w:t xml:space="preserve">2.4 Whistleblowers</w:t>
      </w:r>
    </w:p>
    <w:p>
      <w:pPr>
        <w:pStyle w:val="FirstParagraph"/>
      </w:pPr>
      <w:r>
        <w:t xml:space="preserve">Employees who report securities violations to the SEC may receive awards when sanctions exceed $1 million and are</w:t>
      </w:r>
      <w:r>
        <w:t xml:space="preserve"> </w:t>
      </w:r>
      <w:r>
        <w:t xml:space="preserve">protected from retaliation (15 U.S.C. §78u-6;</w:t>
      </w:r>
      <w:r>
        <w:t xml:space="preserve"> </w:t>
      </w:r>
      <w:hyperlink r:id="rId28">
        <w:r>
          <w:rPr>
            <w:rStyle w:val="Hyperlink"/>
          </w:rPr>
          <w:t xml:space="preserve">Issue C1</w:t>
        </w:r>
      </w:hyperlink>
      <w:r>
        <w:t xml:space="preserve">). Company policies must not impede those reports (SEC Rule</w:t>
      </w:r>
      <w:r>
        <w:t xml:space="preserve"> </w:t>
      </w:r>
      <w:r>
        <w:t xml:space="preserve">21F-17(a);</w:t>
      </w:r>
      <w:r>
        <w:t xml:space="preserve"> </w:t>
      </w:r>
      <w:hyperlink r:id="rId21">
        <w:r>
          <w:rPr>
            <w:rStyle w:val="Hyperlink"/>
          </w:rPr>
          <w:t xml:space="preserve">Form E4-1</w:t>
        </w:r>
      </w:hyperlink>
      <w:r>
        <w:t xml:space="preserve"> </w:t>
      </w:r>
      <w:r>
        <w:t xml:space="preserve">§10).</w:t>
      </w:r>
    </w:p>
    <w:bookmarkEnd w:id="29"/>
    <w:bookmarkEnd w:id="30"/>
    <w:bookmarkStart w:id="31" w:name="insider-trading-around-disclosure"/>
    <w:p>
      <w:pPr>
        <w:pStyle w:val="Heading2"/>
      </w:pPr>
      <w:r>
        <w:t xml:space="preserve">3. Insider trading around disclosure</w:t>
      </w:r>
    </w:p>
    <w:p>
      <w:pPr>
        <w:pStyle w:val="Compact"/>
        <w:numPr>
          <w:ilvl w:val="0"/>
          <w:numId w:val="1004"/>
        </w:numPr>
      </w:pPr>
      <w:r>
        <w:t xml:space="preserve">Officials who receive classified briefings (members of Congress, staff, executive officials) and trade on that</w:t>
      </w:r>
      <w:r>
        <w:t xml:space="preserve"> </w:t>
      </w:r>
      <w:r>
        <w:t xml:space="preserve">information violate the STOCK Act and Rule 10b-5.</w:t>
      </w:r>
    </w:p>
    <w:p>
      <w:pPr>
        <w:pStyle w:val="Compact"/>
        <w:numPr>
          <w:ilvl w:val="0"/>
          <w:numId w:val="1004"/>
        </w:numPr>
      </w:pPr>
      <w:r>
        <w:t xml:space="preserve">Contractor employees with knowledge of company UAP work or of an impending announcement are insiders.</w:t>
      </w:r>
    </w:p>
    <w:p>
      <w:pPr>
        <w:pStyle w:val="Compact"/>
        <w:numPr>
          <w:ilvl w:val="0"/>
          <w:numId w:val="1004"/>
        </w:numPr>
      </w:pPr>
      <w:r>
        <w:t xml:space="preserve">Persons outside government who receive tips from insiders are liable if the tipper breached a duty for a</w:t>
      </w:r>
      <w:r>
        <w:t xml:space="preserve"> </w:t>
      </w:r>
      <w:r>
        <w:t xml:space="preserve">personal benefit and the tippee knew or should have known.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Prediction markets.</w:t>
      </w:r>
      <w:r>
        <w:t xml:space="preserve"> </w:t>
      </w:r>
      <w:r>
        <w:t xml:space="preserve">Event contracts on UAP disclosure have been listed on public platforms. Contracts</w:t>
      </w:r>
      <w:r>
        <w:t xml:space="preserve"> </w:t>
      </w:r>
      <w:r>
        <w:t xml:space="preserve">listed on a CFTC-designated contract market are subject to CFTC Rule 40.11, which bars contracts that</w:t>
      </w:r>
      <w:r>
        <w:t xml:space="preserve"> </w:t>
      </w:r>
      <w:r>
        <w:t xml:space="preserve">involve</w:t>
      </w:r>
      <w:r>
        <w:t xml:space="preserve"> </w:t>
      </w:r>
      <w:r>
        <w:t xml:space="preserve">“</w:t>
      </w:r>
      <w:r>
        <w:t xml:space="preserve">terrorism, assassination, war, gaming, or an activity that is unlawful under any State or Federal</w:t>
      </w:r>
      <w:r>
        <w:t xml:space="preserve"> </w:t>
      </w:r>
      <w:r>
        <w:t xml:space="preserve">law</w:t>
      </w:r>
      <w:r>
        <w:t xml:space="preserve">”</w:t>
      </w:r>
      <w:r>
        <w:t xml:space="preserve"> </w:t>
      </w:r>
      <w:r>
        <w:t xml:space="preserve">and allows a 90-day review of contracts that may fall in those categories (17 C.F.R. §40.11(a), (c)).</w:t>
      </w:r>
      <w:r>
        <w:t xml:space="preserve"> </w:t>
      </w:r>
      <w:r>
        <w:t xml:space="preserve">A contract on whether the government will confirm NHI does not fit those categories on its face. Whether</w:t>
      </w:r>
      <w:r>
        <w:t xml:space="preserve"> </w:t>
      </w:r>
      <w:r>
        <w:t xml:space="preserve">state gambling law can reach event contracts listed on a CFTC-regulated exchange is now split among the</w:t>
      </w:r>
      <w:r>
        <w:t xml:space="preserve"> </w:t>
      </w:r>
      <w:r>
        <w:t xml:space="preserve">circuits: the Third Circuit affirmed a preliminary injunction against New Jersey’s enforcement on the ground</w:t>
      </w:r>
      <w:r>
        <w:t xml:space="preserve"> </w:t>
      </w:r>
      <w:r>
        <w:t xml:space="preserve">that the Commodity Exchange Act likely preempts it,</w:t>
      </w:r>
      <w:r>
        <w:t xml:space="preserve"> </w:t>
      </w:r>
      <w:r>
        <w:rPr>
          <w:iCs/>
          <w:i/>
        </w:rPr>
        <w:t xml:space="preserve">KalshiEX LLC v. Flaherty</w:t>
      </w:r>
      <w:r>
        <w:t xml:space="preserve">, No. 25-1922 (3d Cir. Apr. 6,</w:t>
      </w:r>
      <w:r>
        <w:t xml:space="preserve"> </w:t>
      </w:r>
      <w:r>
        <w:t xml:space="preserve">2026), while the Ninth Circuit affirmed the dissolution of an injunction against Nevada as to sports event</w:t>
      </w:r>
      <w:r>
        <w:t xml:space="preserve"> </w:t>
      </w:r>
      <w:r>
        <w:t xml:space="preserve">contracts,</w:t>
      </w:r>
      <w:r>
        <w:t xml:space="preserve"> </w:t>
      </w:r>
      <w:r>
        <w:rPr>
          <w:iCs/>
          <w:i/>
        </w:rPr>
        <w:t xml:space="preserve">KalshiEX, LLC v. Assad</w:t>
      </w:r>
      <w:r>
        <w:t xml:space="preserve">, No. 25-7516 (9th Cir. Aug. 28, 2026), and the Sixth Circuit affirmed</w:t>
      </w:r>
      <w:r>
        <w:t xml:space="preserve"> </w:t>
      </w:r>
      <w:r>
        <w:t xml:space="preserve">Ohio’s denial of an injunction and vacated a Tennessee injunction,</w:t>
      </w:r>
      <w:r>
        <w:t xml:space="preserve"> </w:t>
      </w:r>
      <w:r>
        <w:rPr>
          <w:iCs/>
          <w:i/>
        </w:rPr>
        <w:t xml:space="preserve">KalshiEX LLC v. Orgel</w:t>
      </w:r>
      <w:r>
        <w:t xml:space="preserve">, No. 26-5235 (6th</w:t>
      </w:r>
      <w:r>
        <w:t xml:space="preserve"> </w:t>
      </w:r>
      <w:r>
        <w:t xml:space="preserve">Cir. Sept. 25, 2026) (also reported as</w:t>
      </w:r>
      <w:r>
        <w:t xml:space="preserve"> </w:t>
      </w:r>
      <w:r>
        <w:rPr>
          <w:iCs/>
          <w:i/>
        </w:rPr>
        <w:t xml:space="preserve">KalshiEX LLC v. Schuler</w:t>
      </w:r>
      <w:r>
        <w:t xml:space="preserve">, 2026 WL 2884087). All three cases concern</w:t>
      </w:r>
      <w:r>
        <w:t xml:space="preserve"> </w:t>
      </w:r>
      <w:r>
        <w:t xml:space="preserve">sports contracts; their reasoning on field and conflict preemption would govern a state challenge to UAP contracts. The federal government has since joined the fight on the exchanges’ side: the United</w:t>
      </w:r>
      <w:r>
        <w:t xml:space="preserve"> </w:t>
      </w:r>
      <w:r>
        <w:t xml:space="preserve">States and the CFTC sued Minnesota over a statute criminalizing prediction markets, and the court preliminarily</w:t>
      </w:r>
      <w:r>
        <w:t xml:space="preserve"> </w:t>
      </w:r>
      <w:r>
        <w:t xml:space="preserve">enjoined it, finding the plaintiffs likely to succeed at least in part on express preemption.</w:t>
      </w:r>
      <w:r>
        <w:t xml:space="preserve"> 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Minnesota</w:t>
      </w:r>
      <w:r>
        <w:t xml:space="preserve">, No. 26-cv-2661, 2026 WL 2150211 (D. Minn. July 27, 2026) (consolidated with suits by KalshiEX and</w:t>
      </w:r>
      <w:r>
        <w:t xml:space="preserve"> </w:t>
      </w:r>
      <w:r>
        <w:t xml:space="preserve">Polymarket US). Tribal challenges under the Indian Gaming Regulatory Act are also pending in the Ninth Circuit.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Resolution risk on event contracts.</w:t>
      </w:r>
      <w:r>
        <w:t xml:space="preserve"> </w:t>
      </w:r>
      <w:r>
        <w:t xml:space="preserve">A disclosure contract will turn on its resolution rules: what counts as the</w:t>
      </w:r>
      <w:r>
        <w:t xml:space="preserve"> </w:t>
      </w:r>
      <w:r>
        <w:t xml:space="preserve">government</w:t>
      </w:r>
      <w:r>
        <w:t xml:space="preserve"> </w:t>
      </w:r>
      <w:r>
        <w:t xml:space="preserve">“</w:t>
      </w:r>
      <w:r>
        <w:t xml:space="preserve">confirming</w:t>
      </w:r>
      <w:r>
        <w:t xml:space="preserve">”</w:t>
      </w:r>
      <w:r>
        <w:t xml:space="preserve"> </w:t>
      </w:r>
      <w:r>
        <w:t xml:space="preserve">NHI, who decides, and what happens on ambiguous news. The Khamenei litigation shows the</w:t>
      </w:r>
      <w:r>
        <w:t xml:space="preserve"> </w:t>
      </w:r>
      <w:r>
        <w:t xml:space="preserve">problem. When the Supreme Leader was killed on February 28, 2026, the exchange halted trading only after reports had</w:t>
      </w:r>
      <w:r>
        <w:t xml:space="preserve"> </w:t>
      </w:r>
      <w:r>
        <w:t xml:space="preserve">circulated for hours and then invoked a</w:t>
      </w:r>
      <w:r>
        <w:t xml:space="preserve"> </w:t>
      </w:r>
      <w:r>
        <w:t xml:space="preserve">“</w:t>
      </w:r>
      <w:r>
        <w:t xml:space="preserve">death carveout</w:t>
      </w:r>
      <w:r>
        <w:t xml:space="preserve">”</w:t>
      </w:r>
      <w:r>
        <w:t xml:space="preserve"> </w:t>
      </w:r>
      <w:r>
        <w:t xml:space="preserve">that paid holders of</w:t>
      </w:r>
      <w:r>
        <w:t xml:space="preserve"> </w:t>
      </w:r>
      <w:r>
        <w:t xml:space="preserve">“</w:t>
      </w:r>
      <w:r>
        <w:t xml:space="preserve">yes</w:t>
      </w:r>
      <w:r>
        <w:t xml:space="preserve">”</w:t>
      </w:r>
      <w:r>
        <w:t xml:space="preserve"> </w:t>
      </w:r>
      <w:r>
        <w:t xml:space="preserve">positions on his leaving</w:t>
      </w:r>
      <w:r>
        <w:t xml:space="preserve"> </w:t>
      </w:r>
      <w:r>
        <w:t xml:space="preserve">office a nominal amount based on the last price before his death; the holders sued for breach of contract and</w:t>
      </w:r>
      <w:r>
        <w:t xml:space="preserve"> </w:t>
      </w:r>
      <w:r>
        <w:t xml:space="preserve">fraud, alleging the carveout was not adequately disclosed.</w:t>
      </w:r>
      <w:r>
        <w:t xml:space="preserve"> </w:t>
      </w:r>
      <w:r>
        <w:rPr>
          <w:iCs/>
          <w:i/>
        </w:rPr>
        <w:t xml:space="preserve">Risch v. KalshiEX LLC</w:t>
      </w:r>
      <w:r>
        <w:t xml:space="preserve">, No. 2:26-cv-02390, 2026 WL</w:t>
      </w:r>
      <w:r>
        <w:t xml:space="preserve"> </w:t>
      </w:r>
      <w:r>
        <w:t xml:space="preserve">1708888, at</w:t>
      </w:r>
      <w:r>
        <w:t xml:space="preserve"> </w:t>
      </w:r>
      <w:r>
        <w:rPr>
          <w:iCs/>
          <w:i/>
        </w:rPr>
        <w:t xml:space="preserve">1-2 (C.D. Cal. June 3, 2026) (transferring the case to S.D.N.Y., where</w:t>
      </w:r>
      <w:r>
        <w:rPr>
          <w:iCs/>
          <w:i/>
        </w:rPr>
        <w:t xml:space="preserve"> </w:t>
      </w:r>
      <w:r>
        <w:t xml:space="preserve">Golan v. KalshiEX LLC</w:t>
      </w:r>
      <w:r>
        <w:rPr>
          <w:iCs/>
          <w:i/>
        </w:rPr>
        <w:t xml:space="preserve">, No.</w:t>
      </w:r>
      <w:r>
        <w:rPr>
          <w:iCs/>
          <w:i/>
        </w:rPr>
        <w:t xml:space="preserve"> </w:t>
      </w:r>
      <w:r>
        <w:rPr>
          <w:iCs/>
          <w:i/>
        </w:rPr>
        <w:t xml:space="preserve">1:26-cv-02394, is pending). The exchange’s member agreement sent disputes to arbitration under its rulebook,</w:t>
      </w:r>
      <w:r>
        <w:rPr>
          <w:iCs/>
          <w:i/>
        </w:rPr>
        <w:t xml:space="preserve"> </w:t>
      </w:r>
      <w:r>
        <w:t xml:space="preserve">id.</w:t>
      </w:r>
      <w:r>
        <w:rPr>
          <w:iCs/>
          <w:i/>
        </w:rPr>
        <w:t xml:space="preserve"> </w:t>
      </w:r>
      <w:r>
        <w:rPr>
          <w:iCs/>
          <w:i/>
        </w:rPr>
        <w:t xml:space="preserve">at</w:t>
      </w:r>
      <w:r>
        <w:rPr>
          <w:iCs/>
          <w:i/>
        </w:rPr>
        <w:t xml:space="preserve"> </w:t>
      </w:r>
      <w:r>
        <w:t xml:space="preserve">1. Clients trading UAP contracts should read the full rule set, including carveouts and the exchange’s</w:t>
      </w:r>
      <w:r>
        <w:t xml:space="preserve"> </w:t>
      </w:r>
      <w:r>
        <w:t xml:space="preserve">discretion to halt or settle at a prior price, before trading on any expected announcement.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Trading event contracts on government information.</w:t>
      </w:r>
      <w:r>
        <w:t xml:space="preserve"> </w:t>
      </w:r>
      <w:r>
        <w:t xml:space="preserve">The Commodity Exchange Act has its own rule for</w:t>
      </w:r>
      <w:r>
        <w:t xml:space="preserve"> </w:t>
      </w:r>
      <w:r>
        <w:t xml:space="preserve">government insiders. It is unlawful for a federal employee, Member or employee of Congress, or judicial</w:t>
      </w:r>
      <w:r>
        <w:t xml:space="preserve"> </w:t>
      </w:r>
      <w:r>
        <w:t xml:space="preserve">officer or employee who acquires nonpublic information</w:t>
      </w:r>
      <w:r>
        <w:t xml:space="preserve"> </w:t>
      </w:r>
      <w:r>
        <w:t xml:space="preserve">“</w:t>
      </w:r>
      <w:r>
        <w:t xml:space="preserve">by virtue of</w:t>
      </w:r>
      <w:r>
        <w:t xml:space="preserve">”</w:t>
      </w:r>
      <w:r>
        <w:t xml:space="preserve"> </w:t>
      </w:r>
      <w:r>
        <w:t xml:space="preserve">that position, information that may</w:t>
      </w:r>
      <w:r>
        <w:t xml:space="preserve"> </w:t>
      </w:r>
      <w:r>
        <w:t xml:space="preserve">affect the price of a commodity or</w:t>
      </w:r>
      <w:r>
        <w:t xml:space="preserve"> </w:t>
      </w:r>
      <w:r>
        <w:t xml:space="preserve">“</w:t>
      </w:r>
      <w:r>
        <w:t xml:space="preserve">any swap,</w:t>
      </w:r>
      <w:r>
        <w:t xml:space="preserve">”</w:t>
      </w:r>
      <w:r>
        <w:t xml:space="preserve"> </w:t>
      </w:r>
      <w:r>
        <w:t xml:space="preserve">to impart it</w:t>
      </w:r>
      <w:r>
        <w:t xml:space="preserve"> </w:t>
      </w:r>
      <w:r>
        <w:t xml:space="preserve">“</w:t>
      </w:r>
      <w:r>
        <w:t xml:space="preserve">for personal gain with intent to assist another</w:t>
      </w:r>
      <w:r>
        <w:t xml:space="preserve"> </w:t>
      </w:r>
      <w:r>
        <w:t xml:space="preserve">person</w:t>
      </w:r>
      <w:r>
        <w:t xml:space="preserve">”</w:t>
      </w:r>
      <w:r>
        <w:t xml:space="preserve"> </w:t>
      </w:r>
      <w:r>
        <w:t xml:space="preserve">to trade a futures contract, option, or swap; it is unlawful for the recipient</w:t>
      </w:r>
      <w:r>
        <w:t xml:space="preserve"> </w:t>
      </w:r>
      <w:r>
        <w:t xml:space="preserve">“</w:t>
      </w:r>
      <w:r>
        <w:t xml:space="preserve">to knowingly use</w:t>
      </w:r>
      <w:r>
        <w:t xml:space="preserve">”</w:t>
      </w:r>
      <w:r>
        <w:t xml:space="preserve"> </w:t>
      </w:r>
      <w:r>
        <w:t xml:space="preserve">it;</w:t>
      </w:r>
      <w:r>
        <w:t xml:space="preserve"> </w:t>
      </w:r>
      <w:r>
        <w:t xml:space="preserve">and it is unlawful for</w:t>
      </w:r>
      <w:r>
        <w:t xml:space="preserve"> </w:t>
      </w:r>
      <w:r>
        <w:t xml:space="preserve">“</w:t>
      </w:r>
      <w:r>
        <w:t xml:space="preserve">any person to steal, convert, or misappropriate</w:t>
      </w:r>
      <w:r>
        <w:t xml:space="preserve">”</w:t>
      </w:r>
      <w:r>
        <w:t xml:space="preserve"> </w:t>
      </w:r>
      <w:r>
        <w:t xml:space="preserve">such government information. 7</w:t>
      </w:r>
      <w:r>
        <w:t xml:space="preserve"> </w:t>
      </w:r>
      <w:r>
        <w:t xml:space="preserve">U.S.C. §6c(a)(4)(A)-(C). CFTC Rule 180.1 adds a general anti-fraud prohibition reaching</w:t>
      </w:r>
      <w:r>
        <w:t xml:space="preserve"> </w:t>
      </w:r>
      <w:r>
        <w:t xml:space="preserve">“</w:t>
      </w:r>
      <w:r>
        <w:t xml:space="preserve">any swap, or</w:t>
      </w:r>
      <w:r>
        <w:t xml:space="preserve"> </w:t>
      </w:r>
      <w:r>
        <w:t xml:space="preserve">contract of sale of any commodity</w:t>
      </w:r>
      <w:r>
        <w:t xml:space="preserve">”</w:t>
      </w:r>
      <w:r>
        <w:t xml:space="preserve"> </w:t>
      </w:r>
      <w:r>
        <w:t xml:space="preserve">(17 C.F.R. §180.1(a)). An official who learns the date of an announced</w:t>
      </w:r>
      <w:r>
        <w:t xml:space="preserve"> </w:t>
      </w:r>
      <w:r>
        <w:t xml:space="preserve">disclosure from a classified briefing and tips a friend who buys</w:t>
      </w:r>
      <w:r>
        <w:t xml:space="preserve"> </w:t>
      </w:r>
      <w:r>
        <w:t xml:space="preserve">“</w:t>
      </w:r>
      <w:r>
        <w:t xml:space="preserve">yes</w:t>
      </w:r>
      <w:r>
        <w:t xml:space="preserve">”</w:t>
      </w:r>
      <w:r>
        <w:t xml:space="preserve"> </w:t>
      </w:r>
      <w:r>
        <w:t xml:space="preserve">contracts would violate</w:t>
      </w:r>
      <w:r>
        <w:t xml:space="preserve"> </w:t>
      </w:r>
      <w:r>
        <w:t xml:space="preserve">§6c(a)(4)(A), and the friend would violate §6c(a)(4)(B), if the contracts are swaps or options under the Act.</w:t>
      </w:r>
    </w:p>
    <w:bookmarkEnd w:id="31"/>
    <w:bookmarkStart w:id="32" w:name="practice-points"/>
    <w:p>
      <w:pPr>
        <w:pStyle w:val="Heading2"/>
      </w:pPr>
      <w:r>
        <w:t xml:space="preserve">4. Practice points</w:t>
      </w:r>
    </w:p>
    <w:p>
      <w:pPr>
        <w:pStyle w:val="Compact"/>
        <w:numPr>
          <w:ilvl w:val="0"/>
          <w:numId w:val="1005"/>
        </w:numPr>
      </w:pPr>
      <w:r>
        <w:t xml:space="preserve">Contractor counsel: review public statements about UAP for accuracy; coordinate with the government on</w:t>
      </w:r>
      <w:r>
        <w:t xml:space="preserve"> </w:t>
      </w:r>
      <w:r>
        <w:t xml:space="preserve">disclosure of classified program information; prepare 8-K and risk-factor language for a disclosure event;</w:t>
      </w:r>
      <w:r>
        <w:t xml:space="preserve"> </w:t>
      </w:r>
      <w:r>
        <w:t xml:space="preserve">impose trading blackouts for employees with knowledge of UAP programs.</w:t>
      </w:r>
    </w:p>
    <w:p>
      <w:pPr>
        <w:pStyle w:val="Compact"/>
        <w:numPr>
          <w:ilvl w:val="0"/>
          <w:numId w:val="1005"/>
        </w:numPr>
      </w:pPr>
      <w:r>
        <w:t xml:space="preserve">Counsel to officials: advise that classified UAP information is material nonpublic information.</w:t>
      </w:r>
    </w:p>
    <w:p>
      <w:pPr>
        <w:pStyle w:val="Compact"/>
        <w:numPr>
          <w:ilvl w:val="0"/>
          <w:numId w:val="1005"/>
        </w:numPr>
      </w:pPr>
      <w:r>
        <w:t xml:space="preserve">Investors: be cautious about claims of</w:t>
      </w:r>
      <w:r>
        <w:t xml:space="preserve"> </w:t>
      </w:r>
      <w:r>
        <w:t xml:space="preserve">“</w:t>
      </w:r>
      <w:r>
        <w:t xml:space="preserve">UAP exposure</w:t>
      </w:r>
      <w:r>
        <w:t xml:space="preserve">”</w:t>
      </w:r>
      <w:r>
        <w:t xml:space="preserve"> </w:t>
      </w:r>
      <w:r>
        <w:t xml:space="preserve">in promotional materials; such claims may be securities</w:t>
      </w:r>
      <w:r>
        <w:t xml:space="preserve"> </w:t>
      </w:r>
      <w:r>
        <w:t xml:space="preserve">fraud if false.</w:t>
      </w:r>
    </w:p>
    <w:bookmarkEnd w:id="32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Securities Law and UAP Disclosure: Contractor Disclosure Duties, Classified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e4-1.html" TargetMode="External"/><Relationship Id="rId22" Type="http://schemas.openxmlformats.org/officeDocument/2006/relationships/hyperlink" Target="https://nhilaw.com/forms/e4-2.html" TargetMode="External"/><Relationship Id="rId28" Type="http://schemas.openxmlformats.org/officeDocument/2006/relationships/hyperlink" Target="https://nhilaw.com/issues/c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e4-1.html" TargetMode="External"/><Relationship Id="rId22" Type="http://schemas.openxmlformats.org/officeDocument/2006/relationships/hyperlink" Target="https://nhilaw.com/forms/e4-2.html" TargetMode="External"/><Relationship Id="rId28" Type="http://schemas.openxmlformats.org/officeDocument/2006/relationships/hyperlink" Target="https://nhilaw.com/issues/c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Securities Law and UAP Disclosure: Contractor Disclosure Duties, Classified Information, and Insider Trading</dc:title>
  <dc:creator>nhilaw.com</dc:creator>
  <cp:keywords/>
  <dcterms:created xsi:type="dcterms:W3CDTF">2026-10-19T03:14:14Z</dcterms:created>
  <dcterms:modified xsi:type="dcterms:W3CDTF">2026-10-19T03:14:14Z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nhilaw.com/issues/e4.html</vt:lpwstr>
  </property>
</Properties>
</file>