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6345c6e4a81202e8e9ac906f623239757eb5b5c"/>
    <w:p>
      <w:pPr>
        <w:pStyle w:val="Heading1"/>
      </w:pPr>
      <w:r>
        <w:t xml:space="preserve">Form E5-1. Force Majeure, Airspace Restriction, and Change-in-Law Clauses Addressing UAP Events</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https://nhilaw.com/forms/e5-1.html</w:t>
      </w:r>
    </w:p>
    <w:p>
      <w:pPr>
        <w:pStyle w:val="BodyText"/>
        <w:spacing w:after="160" w:line="259" w:lineRule="auto"/>
      </w:pPr>
      <w:r>
        <w:rPr>
          <w:bCs/>
          <w:b/>
        </w:rPr>
        <w:t xml:space="preserve">Use.</w:t>
      </w:r>
      <w:r>
        <w:t xml:space="preserve"> </w:t>
      </w:r>
      <w:r>
        <w:t xml:space="preserve">Courts read force majeure clauses narrowly and enforce only the events the clause lists, and</w:t>
      </w:r>
      <w:r>
        <w:t xml:space="preserve"> </w:t>
      </w:r>
      <w:r>
        <w:t xml:space="preserve">the common-law excuse doctrines require an unforeseeable event (</w:t>
      </w:r>
      <w:hyperlink r:id="rId20">
        <w:r>
          <w:rPr>
            <w:rStyle w:val="Hyperlink"/>
          </w:rPr>
          <w:t xml:space="preserve">Issue E5</w:t>
        </w:r>
      </w:hyperlink>
      <w:r>
        <w:t xml:space="preserve">). A party that wants</w:t>
      </w:r>
      <w:r>
        <w:t xml:space="preserve"> </w:t>
      </w:r>
      <w:r>
        <w:t xml:space="preserve">protection against disruption caused by UAP activity, by government responses to it, or by a government</w:t>
      </w:r>
      <w:r>
        <w:t xml:space="preserve"> </w:t>
      </w:r>
      <w:r>
        <w:t xml:space="preserve">disclosure about non-human intelligence should say so expressly. These clauses do that while keeping</w:t>
      </w:r>
      <w:r>
        <w:t xml:space="preserve"> </w:t>
      </w:r>
      <w:r>
        <w:t xml:space="preserve">the ordinary requirements of causation, notice, and mitigation. The counterparty’s counsel should</w:t>
      </w:r>
      <w:r>
        <w:t xml:space="preserve"> </w:t>
      </w:r>
      <w:r>
        <w:t xml:space="preserve">expect to negotiate the scope of Section __.2(c) and the termination right in Section __.6.</w:t>
      </w:r>
    </w:p>
    <w:p>
      <w:pPr>
        <w:pStyle w:val="BodyText"/>
        <w:spacing w:after="160" w:line="259" w:lineRule="auto"/>
      </w:pPr>
      <w:r>
        <w:rPr>
          <w:bCs/>
          <w:b/>
        </w:rPr>
        <w:t xml:space="preserve">When to use.</w:t>
      </w:r>
      <w:r>
        <w:t xml:space="preserve"> </w:t>
      </w:r>
      <w:r>
        <w:t xml:space="preserve">Long-term commercial contracts in aerospace, aviation, energy, telecommunications, events, and similar sectors.</w:t>
      </w:r>
      <w:r>
        <w:t xml:space="preserve"> </w:t>
      </w:r>
      <w:r>
        <w:rPr>
          <w:bCs/>
          <w:b/>
        </w:rPr>
        <w:t xml:space="preserve">Not for:</w:t>
      </w:r>
      <w:r>
        <w:t xml:space="preserve"> </w:t>
      </w:r>
      <w:r>
        <w:t xml:space="preserve">Insurance policies (</w:t>
      </w:r>
      <w:hyperlink r:id="rId21">
        <w:r>
          <w:rPr>
            <w:rStyle w:val="Hyperlink"/>
          </w:rPr>
          <w:t xml:space="preserve">Form E5-2</w:t>
        </w:r>
      </w:hyperlink>
      <w:r>
        <w:t xml:space="preserve">).</w:t>
      </w:r>
    </w:p>
    <w:p>
      <w:pPr>
        <w:pStyle w:val="BodyText"/>
        <w:spacing w:after="160" w:line="259" w:lineRule="auto"/>
      </w:pPr>
      <w:r>
        <w:rPr>
          <w:bCs/>
          <w:b/>
        </w:rPr>
        <w:t xml:space="preserve">Deadlines.</w:t>
      </w:r>
      <w:r>
        <w:t xml:space="preserve"> </w:t>
      </w:r>
      <w:r>
        <w:t xml:space="preserve">Agree before signing; notice periods under the clause run from the event.</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rPr>
          <w:bCs/>
          <w:b/>
        </w:rPr>
        <w:t xml:space="preserve">Article __. Force Majeure</w:t>
      </w:r>
    </w:p>
    <w:p>
      <w:pPr>
        <w:pStyle w:val="BodyText"/>
      </w:pPr>
      <w:r>
        <w:t xml:space="preserve">__.1</w:t>
      </w:r>
      <w:r>
        <w:t xml:space="preserve"> </w:t>
      </w:r>
      <w:r>
        <w:rPr>
          <w:bCs/>
          <w:b/>
        </w:rPr>
        <w:t xml:space="preserve">Excuse.</w:t>
      </w:r>
      <w:r>
        <w:t xml:space="preserve"> </w:t>
      </w:r>
      <w:r>
        <w:t xml:space="preserve">Neither Party is liable for any failure or delay in performing an obligation under</w:t>
      </w:r>
      <w:r>
        <w:t xml:space="preserve"> </w:t>
      </w:r>
      <w:r>
        <w:t xml:space="preserve">this Agreement (other than an obligation to pay money for performance already rendered) to the extent</w:t>
      </w:r>
      <w:r>
        <w:t xml:space="preserve"> </w:t>
      </w:r>
      <w:r>
        <w:t xml:space="preserve">the failure or delay is caused by a Force Majeure Event, provided that the affected Party complies with</w:t>
      </w:r>
      <w:r>
        <w:t xml:space="preserve"> </w:t>
      </w:r>
      <w:r>
        <w:t xml:space="preserve">Sections __.3 and __.4.</w:t>
      </w:r>
    </w:p>
    <w:p>
      <w:pPr>
        <w:pStyle w:val="BodyText"/>
      </w:pPr>
      <w:r>
        <w:t xml:space="preserve">__.2</w:t>
      </w:r>
      <w:r>
        <w:t xml:space="preserve"> </w:t>
      </w:r>
      <w:r>
        <w:rPr>
          <w:bCs/>
          <w:b/>
        </w:rPr>
        <w:t xml:space="preserve">Force Majeure Event.</w:t>
      </w:r>
      <w:r>
        <w:t xml:space="preserve"> </w:t>
      </w:r>
      <w:r>
        <w:t xml:space="preserve">“</w:t>
      </w:r>
      <w:r>
        <w:t xml:space="preserve">Force Majeure Event</w:t>
      </w:r>
      <w:r>
        <w:t xml:space="preserve">”</w:t>
      </w:r>
      <w:r>
        <w:t xml:space="preserve"> </w:t>
      </w:r>
      <w:r>
        <w:t xml:space="preserve">means any of the following, to the extent beyond</w:t>
      </w:r>
      <w:r>
        <w:t xml:space="preserve"> </w:t>
      </w:r>
      <w:r>
        <w:t xml:space="preserve">the reasonable control of the affected Party and not caused by its fault or negligence:</w:t>
      </w:r>
    </w:p>
    <w:p>
      <w:pPr>
        <w:pStyle w:val="BodyText"/>
      </w:pPr>
      <w:r>
        <w:t xml:space="preserve">(a) acts of God, fire, flood, earthquake, storm, epidemic, or other natural disaster;</w:t>
      </w:r>
    </w:p>
    <w:p>
      <w:pPr>
        <w:pStyle w:val="BodyText"/>
      </w:pPr>
      <w:r>
        <w:t xml:space="preserve">(b) war (whether or not declared), hostilities, invasion, act of a foreign enemy, terrorism,</w:t>
      </w:r>
      <w:r>
        <w:t xml:space="preserve"> </w:t>
      </w:r>
      <w:r>
        <w:t xml:space="preserve">insurrection, or civil disturbance;</w:t>
      </w:r>
    </w:p>
    <w:p>
      <w:pPr>
        <w:pStyle w:val="BodyText"/>
      </w:pPr>
      <w:r>
        <w:t xml:space="preserve">(c) any Anomalous Phenomenon Event, meaning (i) the presence, activity, or effects of unidentified</w:t>
      </w:r>
      <w:r>
        <w:t xml:space="preserve"> </w:t>
      </w:r>
      <w:r>
        <w:t xml:space="preserve">anomalous phenomena, as that term is defined in 50 U.S.C. §3373(n)(8) as in effect on the Effective</w:t>
      </w:r>
      <w:r>
        <w:t xml:space="preserve"> </w:t>
      </w:r>
      <w:r>
        <w:t xml:space="preserve">Date, including interference with aircraft, spacecraft, vessels, sensors, communications, or electrical</w:t>
      </w:r>
      <w:r>
        <w:t xml:space="preserve"> </w:t>
      </w:r>
      <w:r>
        <w:t xml:space="preserve">systems attributed by a Governmental Authority or by the affected Party’s qualified technical personnel</w:t>
      </w:r>
      <w:r>
        <w:t xml:space="preserve"> </w:t>
      </w:r>
      <w:r>
        <w:t xml:space="preserve">to such phenomena; (ii) any action of a Governmental Authority taken in response to, or in connection</w:t>
      </w:r>
      <w:r>
        <w:t xml:space="preserve"> </w:t>
      </w:r>
      <w:r>
        <w:t xml:space="preserve">with, such phenomena; or (iii) any action of any entity that is not a natural person, a legal person,</w:t>
      </w:r>
      <w:r>
        <w:t xml:space="preserve"> </w:t>
      </w:r>
      <w:r>
        <w:t xml:space="preserve">or a Governmental Authority, whatever its origin;</w:t>
      </w:r>
    </w:p>
    <w:p>
      <w:pPr>
        <w:pStyle w:val="BodyText"/>
      </w:pPr>
      <w:r>
        <w:t xml:space="preserve">(d) any order, restriction, closure, or other action of a Governmental Authority, including airspace</w:t>
      </w:r>
      <w:r>
        <w:t xml:space="preserve"> </w:t>
      </w:r>
      <w:r>
        <w:t xml:space="preserve">closures, temporary flight restrictions, NOTAMs, export or access restrictions,</w:t>
      </w:r>
      <w:r>
        <w:t xml:space="preserve"> </w:t>
      </w:r>
      <w:r>
        <w:t xml:space="preserve">requisitions, and seizures or condemnations of property, that is not caused by the affected Party’s</w:t>
      </w:r>
      <w:r>
        <w:t xml:space="preserve"> </w:t>
      </w:r>
      <w:r>
        <w:t xml:space="preserve">violation of law; and</w:t>
      </w:r>
    </w:p>
    <w:p>
      <w:pPr>
        <w:pStyle w:val="BodyText"/>
      </w:pPr>
      <w:r>
        <w:t xml:space="preserve">(e) [other events negotiated by the Parties].</w:t>
      </w:r>
    </w:p>
    <w:p>
      <w:pPr>
        <w:pStyle w:val="BodyText"/>
      </w:pPr>
      <w:r>
        <w:t xml:space="preserve">A Force Majeure Event does not include (1) a change in market conditions or in the cost of</w:t>
      </w:r>
      <w:r>
        <w:t xml:space="preserve"> </w:t>
      </w:r>
      <w:r>
        <w:t xml:space="preserve">performance; (2) the affected Party’s financial inability to perform; or (3) the mere announcement,</w:t>
      </w:r>
      <w:r>
        <w:t xml:space="preserve"> </w:t>
      </w:r>
      <w:r>
        <w:t xml:space="preserve">publication, or official acknowledgment of information, including information concerning non-human</w:t>
      </w:r>
      <w:r>
        <w:t xml:space="preserve"> </w:t>
      </w:r>
      <w:r>
        <w:t xml:space="preserve">intelligence, unless the announcement is accompanied by a Governmental Authority action described in</w:t>
      </w:r>
      <w:r>
        <w:t xml:space="preserve"> </w:t>
      </w:r>
      <w:r>
        <w:t xml:space="preserve">paragraph (d) that itself prevents or delays performance.</w:t>
      </w:r>
    </w:p>
    <w:p>
      <w:pPr>
        <w:pStyle w:val="BodyText"/>
      </w:pPr>
      <w:r>
        <w:t xml:space="preserve">__.3</w:t>
      </w:r>
      <w:r>
        <w:t xml:space="preserve"> </w:t>
      </w:r>
      <w:r>
        <w:rPr>
          <w:bCs/>
          <w:b/>
        </w:rPr>
        <w:t xml:space="preserve">Notice.</w:t>
      </w:r>
      <w:r>
        <w:t xml:space="preserve"> </w:t>
      </w:r>
      <w:r>
        <w:t xml:space="preserve">The affected Party shall give written notice within [five] Business Days after it</w:t>
      </w:r>
      <w:r>
        <w:t xml:space="preserve"> </w:t>
      </w:r>
      <w:r>
        <w:t xml:space="preserve">knows of a Force Majeure Event that has caused or is reasonably likely to cause a failure or delay. The</w:t>
      </w:r>
      <w:r>
        <w:t xml:space="preserve"> </w:t>
      </w:r>
      <w:r>
        <w:t xml:space="preserve">notice shall describe the event, the obligations affected, and the expected duration, to the extent</w:t>
      </w:r>
      <w:r>
        <w:t xml:space="preserve"> </w:t>
      </w:r>
      <w:r>
        <w:t xml:space="preserve">the affected Party may lawfully disclose them. A Party is not required to disclose classified</w:t>
      </w:r>
      <w:r>
        <w:t xml:space="preserve"> </w:t>
      </w:r>
      <w:r>
        <w:t xml:space="preserve">information or information it is prohibited by law or government contract from disclosing; it shall</w:t>
      </w:r>
      <w:r>
        <w:t xml:space="preserve"> </w:t>
      </w:r>
      <w:r>
        <w:t xml:space="preserve">instead state that the event involves information it may not disclose and identify, if permitted, the</w:t>
      </w:r>
      <w:r>
        <w:t xml:space="preserve"> </w:t>
      </w:r>
      <w:r>
        <w:t xml:space="preserve">Governmental Authority that can confirm the event.</w:t>
      </w:r>
    </w:p>
    <w:p>
      <w:pPr>
        <w:pStyle w:val="BodyText"/>
      </w:pPr>
      <w:r>
        <w:t xml:space="preserve">__.4</w:t>
      </w:r>
      <w:r>
        <w:t xml:space="preserve"> </w:t>
      </w:r>
      <w:r>
        <w:rPr>
          <w:bCs/>
          <w:b/>
        </w:rPr>
        <w:t xml:space="preserve">Mitigation.</w:t>
      </w:r>
      <w:r>
        <w:t xml:space="preserve"> </w:t>
      </w:r>
      <w:r>
        <w:t xml:space="preserve">The affected Party shall use commercially reasonable efforts to mitigate the</w:t>
      </w:r>
      <w:r>
        <w:t xml:space="preserve"> </w:t>
      </w:r>
      <w:r>
        <w:t xml:space="preserve">effect of the Force Majeure Event and to resume performance, and shall give written notice when</w:t>
      </w:r>
      <w:r>
        <w:t xml:space="preserve"> </w:t>
      </w:r>
      <w:r>
        <w:t xml:space="preserve">performance resumes.</w:t>
      </w:r>
    </w:p>
    <w:p>
      <w:pPr>
        <w:pStyle w:val="BodyText"/>
      </w:pPr>
      <w:r>
        <w:t xml:space="preserve">__.5</w:t>
      </w:r>
      <w:r>
        <w:t xml:space="preserve"> </w:t>
      </w:r>
      <w:r>
        <w:rPr>
          <w:bCs/>
          <w:b/>
        </w:rPr>
        <w:t xml:space="preserve">Allocation.</w:t>
      </w:r>
      <w:r>
        <w:t xml:space="preserve"> </w:t>
      </w:r>
      <w:r>
        <w:t xml:space="preserve">During a Force Majeure Event that affects only part of the affected Party’s</w:t>
      </w:r>
      <w:r>
        <w:t xml:space="preserve"> </w:t>
      </w:r>
      <w:r>
        <w:t xml:space="preserve">capacity, the affected Party may allocate available capacity among its customers on a fair and</w:t>
      </w:r>
      <w:r>
        <w:t xml:space="preserve"> </w:t>
      </w:r>
      <w:r>
        <w:t xml:space="preserve">reasonable basis.</w:t>
      </w:r>
    </w:p>
    <w:p>
      <w:pPr>
        <w:pStyle w:val="BodyText"/>
      </w:pPr>
      <w:r>
        <w:t xml:space="preserve">__.6</w:t>
      </w:r>
      <w:r>
        <w:t xml:space="preserve"> </w:t>
      </w:r>
      <w:r>
        <w:rPr>
          <w:bCs/>
          <w:b/>
        </w:rPr>
        <w:t xml:space="preserve">Extended event.</w:t>
      </w:r>
      <w:r>
        <w:t xml:space="preserve"> </w:t>
      </w:r>
      <w:r>
        <w:t xml:space="preserve">If a Force Majeure Event prevents performance of a material obligation for</w:t>
      </w:r>
      <w:r>
        <w:t xml:space="preserve"> </w:t>
      </w:r>
      <w:r>
        <w:t xml:space="preserve">more than [90] consecutive days, either Party may terminate this Agreement on [30] days’ written</w:t>
      </w:r>
      <w:r>
        <w:t xml:space="preserve"> </w:t>
      </w:r>
      <w:r>
        <w:t xml:space="preserve">notice, without liability except for amounts due for performance rendered before termination.</w:t>
      </w:r>
    </w:p>
    <w:p>
      <w:pPr>
        <w:pStyle w:val="BodyText"/>
      </w:pPr>
      <w:r>
        <w:rPr>
          <w:bCs/>
          <w:b/>
        </w:rPr>
        <w:t xml:space="preserve">Article __. Change in Law</w:t>
      </w:r>
    </w:p>
    <w:p>
      <w:pPr>
        <w:pStyle w:val="BodyText"/>
      </w:pPr>
      <w:r>
        <w:t xml:space="preserve">__.7</w:t>
      </w:r>
      <w:r>
        <w:t xml:space="preserve"> </w:t>
      </w:r>
      <w:r>
        <w:rPr>
          <w:bCs/>
          <w:b/>
        </w:rPr>
        <w:t xml:space="preserve">Change in Law.</w:t>
      </w:r>
      <w:r>
        <w:t xml:space="preserve"> </w:t>
      </w:r>
      <w:r>
        <w:t xml:space="preserve">“</w:t>
      </w:r>
      <w:r>
        <w:t xml:space="preserve">Change in Law</w:t>
      </w:r>
      <w:r>
        <w:t xml:space="preserve">”</w:t>
      </w:r>
      <w:r>
        <w:t xml:space="preserve"> </w:t>
      </w:r>
      <w:r>
        <w:t xml:space="preserve">means the enactment, amendment, or new interpretation of any</w:t>
      </w:r>
      <w:r>
        <w:t xml:space="preserve"> </w:t>
      </w:r>
      <w:r>
        <w:t xml:space="preserve">statute, regulation, order, or directive of a Governmental Authority after the Effective Date,</w:t>
      </w:r>
      <w:r>
        <w:t xml:space="preserve"> </w:t>
      </w:r>
      <w:r>
        <w:t xml:space="preserve">including any law providing for the disclosure of records, the acquisition or condemnation of</w:t>
      </w:r>
      <w:r>
        <w:t xml:space="preserve"> </w:t>
      </w:r>
      <w:r>
        <w:t xml:space="preserve">property, or the regulation of technology or material relating to unidentified anomalous phenomena or</w:t>
      </w:r>
      <w:r>
        <w:t xml:space="preserve"> </w:t>
      </w:r>
      <w:r>
        <w:t xml:space="preserve">non-human intelligence. If a Change in Law materially increases the cost of performing this Agreement,</w:t>
      </w:r>
      <w:r>
        <w:t xml:space="preserve"> </w:t>
      </w:r>
      <w:r>
        <w:t xml:space="preserve">or makes performance unlawful, the Parties shall negotiate in good faith for [30] days to adjust the</w:t>
      </w:r>
      <w:r>
        <w:t xml:space="preserve"> </w:t>
      </w:r>
      <w:r>
        <w:t xml:space="preserve">price, schedule, or scope. If they do not agree, either Party may [refer the matter to dispute</w:t>
      </w:r>
      <w:r>
        <w:t xml:space="preserve"> </w:t>
      </w:r>
      <w:r>
        <w:t xml:space="preserve">resolution under Article __ / terminate the affected portion of this Agreement on [30] days’ notice].</w:t>
      </w:r>
    </w:p>
    <w:p>
      <w:pPr>
        <w:pStyle w:val="BodyText"/>
      </w:pPr>
      <w:r>
        <w:t xml:space="preserve">__.8</w:t>
      </w:r>
      <w:r>
        <w:t xml:space="preserve"> </w:t>
      </w:r>
      <w:r>
        <w:rPr>
          <w:bCs/>
          <w:b/>
        </w:rPr>
        <w:t xml:space="preserve">Property subject to government acquisition.</w:t>
      </w:r>
      <w:r>
        <w:t xml:space="preserve"> </w:t>
      </w:r>
      <w:r>
        <w:t xml:space="preserve">If any Governmental Authority requisitions,</w:t>
      </w:r>
      <w:r>
        <w:t xml:space="preserve"> </w:t>
      </w:r>
      <w:r>
        <w:t xml:space="preserve">condemns, seizes, or demands transfer or inspection of any property, material, data, or technology</w:t>
      </w:r>
      <w:r>
        <w:t xml:space="preserve"> </w:t>
      </w:r>
      <w:r>
        <w:t xml:space="preserve">that is the subject of this Agreement, the Party receiving the demand shall, to the extent permitted</w:t>
      </w:r>
      <w:r>
        <w:t xml:space="preserve"> </w:t>
      </w:r>
      <w:r>
        <w:t xml:space="preserve">by law, notify the other Party promptly, and neither Party shall be liable to the other for compliance</w:t>
      </w:r>
      <w:r>
        <w:t xml:space="preserve"> </w:t>
      </w:r>
      <w:r>
        <w:t xml:space="preserve">with the demand. Each Party retains any claim it may have against the Governmental Authority for</w:t>
      </w:r>
      <w:r>
        <w:t xml:space="preserve"> </w:t>
      </w:r>
      <w:r>
        <w:t xml:space="preserve">compensation.</w:t>
      </w:r>
    </w:p>
    <w:p>
      <w:pPr>
        <w:pStyle w:val="BodyText"/>
      </w:pPr>
      <w:r>
        <w:rPr>
          <w:bCs/>
          <w:b/>
        </w:rPr>
        <w:t xml:space="preserve">Definitions.</w:t>
      </w:r>
      <w:r>
        <w:t xml:space="preserve"> </w:t>
      </w:r>
      <w:r>
        <w:t xml:space="preserve">“</w:t>
      </w:r>
      <w:r>
        <w:t xml:space="preserve">Governmental Authority</w:t>
      </w:r>
      <w:r>
        <w:t xml:space="preserve">”</w:t>
      </w:r>
      <w:r>
        <w:t xml:space="preserve"> </w:t>
      </w:r>
      <w:r>
        <w:t xml:space="preserve">means any national, state, or local government of any</w:t>
      </w:r>
      <w:r>
        <w:t xml:space="preserve"> </w:t>
      </w:r>
      <w:r>
        <w:t xml:space="preserve">country, and any agency, court, or military or intelligence authority of any of them.</w:t>
      </w:r>
    </w:p>
    <w:p>
      <w:pPr>
        <w:pStyle w:val="BodyText"/>
        <w:spacing w:lineRule="exact" w:line="40" w:before="0" w:after="0"/>
        <w:sectPr>
          <w:headerReference w:type="default" r:id="rId11"/>
          <w:footerReference w:type="default" r:id="rId12"/>
          <w:footerReference w:type="first" r:id="rId13"/>
          <w:pgSz w:h="15840" w:w="12240"/>
          <w:pgMar w:bottom="1440" w:left="1440" w:right="1440" w:top="1440" w:header="720" w:footer="576"/>
          <w:pgNumType w:start="1"/>
          <w:titlePg/>
        </w:sectPr>
      </w:pPr>
    </w:p>
    <w:bookmarkStart w:id="22" w:name="drafting-notes"/>
    <w:p>
      <w:pPr>
        <w:pStyle w:val="Heading2"/>
      </w:pPr>
      <w:r>
        <w:t xml:space="preserve">Drafting notes</w:t>
      </w:r>
    </w:p>
    <w:p>
      <w:pPr>
        <w:pStyle w:val="Compact"/>
        <w:numPr>
          <w:ilvl w:val="0"/>
          <w:numId w:val="1001"/>
        </w:numPr>
      </w:pPr>
      <w:r>
        <w:rPr>
          <w:bCs/>
          <w:b/>
        </w:rPr>
        <w:t xml:space="preserve">Section __.2(c)(iii).</w:t>
      </w:r>
      <w:r>
        <w:t xml:space="preserve"> </w:t>
      </w:r>
      <w:r>
        <w:t xml:space="preserve">This sub-clause covers actions of a non-human actor directly. Without it,</w:t>
      </w:r>
      <w:r>
        <w:t xml:space="preserve"> </w:t>
      </w:r>
      <w:r>
        <w:t xml:space="preserve">a court asked whether</w:t>
      </w:r>
      <w:r>
        <w:t xml:space="preserve"> </w:t>
      </w:r>
      <w:r>
        <w:t xml:space="preserve">“</w:t>
      </w:r>
      <w:r>
        <w:t xml:space="preserve">war,</w:t>
      </w:r>
      <w:r>
        <w:t xml:space="preserve">”</w:t>
      </w:r>
      <w:r>
        <w:t xml:space="preserve"> </w:t>
      </w:r>
      <w:r>
        <w:t xml:space="preserve">“</w:t>
      </w:r>
      <w:r>
        <w:t xml:space="preserve">hostilities,</w:t>
      </w:r>
      <w:r>
        <w:t xml:space="preserve">”</w:t>
      </w:r>
      <w:r>
        <w:t xml:space="preserve"> </w:t>
      </w:r>
      <w:r>
        <w:t xml:space="preserve">or</w:t>
      </w:r>
      <w:r>
        <w:t xml:space="preserve"> </w:t>
      </w:r>
      <w:r>
        <w:t xml:space="preserve">“</w:t>
      </w:r>
      <w:r>
        <w:t xml:space="preserve">act of a foreign enemy</w:t>
      </w:r>
      <w:r>
        <w:t xml:space="preserve">”</w:t>
      </w:r>
      <w:r>
        <w:t xml:space="preserve"> </w:t>
      </w:r>
      <w:r>
        <w:t xml:space="preserve">includes conduct by an</w:t>
      </w:r>
      <w:r>
        <w:t xml:space="preserve"> </w:t>
      </w:r>
      <w:r>
        <w:t xml:space="preserve">unrecognized, non-human actor would face the same question that insurance war exclusions raise</w:t>
      </w:r>
      <w:r>
        <w:t xml:space="preserve"> </w:t>
      </w:r>
      <w:r>
        <w:t xml:space="preserve">(</w:t>
      </w:r>
      <w:hyperlink r:id="rId20">
        <w:r>
          <w:rPr>
            <w:rStyle w:val="Hyperlink"/>
          </w:rPr>
          <w:t xml:space="preserve">Issue E5</w:t>
        </w:r>
      </w:hyperlink>
      <w:r>
        <w:t xml:space="preserve">, discussing</w:t>
      </w:r>
      <w:r>
        <w:t xml:space="preserve"> </w:t>
      </w:r>
      <w:r>
        <w:rPr>
          <w:iCs/>
          <w:i/>
        </w:rPr>
        <w:t xml:space="preserve">Pan American</w:t>
      </w:r>
      <w:r>
        <w:t xml:space="preserve"> </w:t>
      </w:r>
      <w:r>
        <w:t xml:space="preserve">and</w:t>
      </w:r>
      <w:r>
        <w:t xml:space="preserve"> </w:t>
      </w:r>
      <w:r>
        <w:rPr>
          <w:iCs/>
          <w:i/>
        </w:rPr>
        <w:t xml:space="preserve">Universal Cable</w:t>
      </w:r>
      <w:r>
        <w:t xml:space="preserve">, which read</w:t>
      </w:r>
      <w:r>
        <w:t xml:space="preserve"> </w:t>
      </w:r>
      <w:r>
        <w:t xml:space="preserve">“</w:t>
      </w:r>
      <w:r>
        <w:t xml:space="preserve">war</w:t>
      </w:r>
      <w:r>
        <w:t xml:space="preserve">”</w:t>
      </w:r>
      <w:r>
        <w:t xml:space="preserve"> </w:t>
      </w:r>
      <w:r>
        <w:t xml:space="preserve">to require hostilities</w:t>
      </w:r>
      <w:r>
        <w:t xml:space="preserve"> </w:t>
      </w:r>
      <w:r>
        <w:t xml:space="preserve">between sovereign or quasi-sovereign entities).</w:t>
      </w:r>
    </w:p>
    <w:p>
      <w:pPr>
        <w:pStyle w:val="Compact"/>
        <w:numPr>
          <w:ilvl w:val="0"/>
          <w:numId w:val="1001"/>
        </w:numPr>
      </w:pPr>
      <w:r>
        <w:rPr>
          <w:bCs/>
          <w:b/>
        </w:rPr>
        <w:t xml:space="preserve">Attribution.</w:t>
      </w:r>
      <w:r>
        <w:t xml:space="preserve"> </w:t>
      </w:r>
      <w:r>
        <w:t xml:space="preserve">Section __.2(c)(i) accepts attribution by a Governmental Authority or by the</w:t>
      </w:r>
      <w:r>
        <w:t xml:space="preserve"> </w:t>
      </w:r>
      <w:r>
        <w:t xml:space="preserve">affected Party’s qualified technical personnel. A counterparty may insist on government attribution</w:t>
      </w:r>
      <w:r>
        <w:t xml:space="preserve"> </w:t>
      </w:r>
      <w:r>
        <w:t xml:space="preserve">only. Weigh that against the likelihood that the government will decline to attribute any incident</w:t>
      </w:r>
      <w:r>
        <w:t xml:space="preserve"> </w:t>
      </w:r>
      <w:r>
        <w:t xml:space="preserve">publicly.</w:t>
      </w:r>
    </w:p>
    <w:p>
      <w:pPr>
        <w:pStyle w:val="Compact"/>
        <w:numPr>
          <w:ilvl w:val="0"/>
          <w:numId w:val="1001"/>
        </w:numPr>
      </w:pPr>
      <w:r>
        <w:rPr>
          <w:bCs/>
          <w:b/>
        </w:rPr>
        <w:t xml:space="preserve">Announcement carve-out.</w:t>
      </w:r>
      <w:r>
        <w:t xml:space="preserve"> </w:t>
      </w:r>
      <w:r>
        <w:t xml:space="preserve">The second paragraph of __.2 excludes a pure disclosure event so that a</w:t>
      </w:r>
      <w:r>
        <w:t xml:space="preserve"> </w:t>
      </w:r>
      <w:r>
        <w:t xml:space="preserve">party cannot escape an unprofitable contract merely because the government acknowledges NHI. Delete</w:t>
      </w:r>
      <w:r>
        <w:t xml:space="preserve"> </w:t>
      </w:r>
      <w:r>
        <w:t xml:space="preserve">the carve-out only if the client’s business could be directly impaired by the announcement itself</w:t>
      </w:r>
      <w:r>
        <w:t xml:space="preserve"> </w:t>
      </w:r>
      <w:r>
        <w:t xml:space="preserve">(for example, a contract premised on a technology the disclosure makes obsolete), and consider a</w:t>
      </w:r>
      <w:r>
        <w:t xml:space="preserve"> </w:t>
      </w:r>
      <w:r>
        <w:t xml:space="preserve">frustration-of-purpose clause instead.</w:t>
      </w:r>
    </w:p>
    <w:p>
      <w:pPr>
        <w:pStyle w:val="Compact"/>
        <w:numPr>
          <w:ilvl w:val="0"/>
          <w:numId w:val="1001"/>
        </w:numPr>
      </w:pPr>
      <w:r>
        <w:rPr>
          <w:bCs/>
          <w:b/>
        </w:rPr>
        <w:t xml:space="preserve">Static definition.</w:t>
      </w:r>
      <w:r>
        <w:t xml:space="preserve"> </w:t>
      </w:r>
      <w:r>
        <w:t xml:space="preserve">Incorporating 50 U.S.C. §3373(n)(8)</w:t>
      </w:r>
      <w:r>
        <w:t xml:space="preserve"> </w:t>
      </w:r>
      <w:r>
        <w:t xml:space="preserve">“</w:t>
      </w:r>
      <w:r>
        <w:t xml:space="preserve">as in effect on the Effective Date</w:t>
      </w:r>
      <w:r>
        <w:t xml:space="preserve">”</w:t>
      </w:r>
      <w:r>
        <w:t xml:space="preserve"> </w:t>
      </w:r>
      <w:r>
        <w:t xml:space="preserve">prevents later amendments from changing the contract’s scope.</w:t>
      </w:r>
    </w:p>
    <w:p>
      <w:pPr>
        <w:pStyle w:val="Compact"/>
        <w:numPr>
          <w:ilvl w:val="0"/>
          <w:numId w:val="1001"/>
        </w:numPr>
      </w:pPr>
      <w:r>
        <w:rPr>
          <w:bCs/>
          <w:b/>
        </w:rPr>
        <w:t xml:space="preserve">Section __.3.</w:t>
      </w:r>
      <w:r>
        <w:t xml:space="preserve"> </w:t>
      </w:r>
      <w:r>
        <w:t xml:space="preserve">Classified contractors cannot describe some events. The clause substitutes a</w:t>
      </w:r>
      <w:r>
        <w:t xml:space="preserve"> </w:t>
      </w:r>
      <w:r>
        <w:t xml:space="preserve">pointer to the Governmental Authority for a description, which preserves the notice requirement.</w:t>
      </w:r>
    </w:p>
    <w:p>
      <w:pPr>
        <w:pStyle w:val="Compact"/>
        <w:numPr>
          <w:ilvl w:val="0"/>
          <w:numId w:val="1001"/>
        </w:numPr>
      </w:pPr>
      <w:r>
        <w:t xml:space="preserve">Related forms: E5-2 (notice of loss to insurer), D4-1 (aviation incident preservation), E1-1</w:t>
      </w:r>
      <w:r>
        <w:t xml:space="preserve"> </w:t>
      </w:r>
      <w:r>
        <w:t xml:space="preserve">(takings claim notice).</w:t>
      </w:r>
    </w:p>
    <w:bookmarkEnd w:id="22"/>
    <w:bookmarkEnd w:id="23"/>
    <w:sectPr>
      <w:headerReference w:type="default" r:id="rId14"/>
      <w:footerReference w:type="default" r:id="rId15"/>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forms/e5-2.html" TargetMode="External"/><Relationship Id="rId20" Type="http://schemas.openxmlformats.org/officeDocument/2006/relationships/hyperlink" Target="https://nhilaw.com/issues/e5.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forms/e5-2.html" TargetMode="External"/><Relationship Id="rId20" Type="http://schemas.openxmlformats.org/officeDocument/2006/relationships/hyperlink" Target="https://nhilaw.com/issues/e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E5-1. Force Majeure, Airspace Restriction, and Change-in-Law Clauses Addressing UAP Events</dc:title>
  <dc:creator>nhilaw.com</dc:creator>
  <cp:keywords/>
  <dcterms:created xsi:type="dcterms:W3CDTF">2026-10-19T03:14:25Z</dcterms:created>
  <dcterms:modified xsi:type="dcterms:W3CDTF">2026-10-19T03:14:25Z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